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37FEC" w14:textId="2B2C4C56" w:rsidR="003A3BF0" w:rsidRDefault="003A3BF0" w:rsidP="00376444">
      <w:pPr>
        <w:rPr>
          <w:rFonts w:ascii="黑体" w:eastAsia="黑体" w:hAnsi="黑体"/>
          <w:color w:val="000000"/>
          <w:sz w:val="32"/>
          <w:szCs w:val="32"/>
        </w:rPr>
      </w:pPr>
      <w:bookmarkStart w:id="0" w:name="zhengwen"/>
      <w:r w:rsidRPr="003A3BF0">
        <w:rPr>
          <w:rFonts w:ascii="黑体" w:eastAsia="黑体" w:hAnsi="黑体"/>
          <w:color w:val="000000"/>
          <w:sz w:val="32"/>
          <w:szCs w:val="32"/>
        </w:rPr>
        <w:drawing>
          <wp:inline distT="0" distB="0" distL="0" distR="0" wp14:anchorId="5D79587B" wp14:editId="3356C0E4">
            <wp:extent cx="5615940" cy="3114040"/>
            <wp:effectExtent l="0" t="0" r="381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15940" cy="3114040"/>
                    </a:xfrm>
                    <a:prstGeom prst="rect">
                      <a:avLst/>
                    </a:prstGeom>
                  </pic:spPr>
                </pic:pic>
              </a:graphicData>
            </a:graphic>
          </wp:inline>
        </w:drawing>
      </w:r>
    </w:p>
    <w:p w14:paraId="0DE36D7D" w14:textId="77777777" w:rsidR="003A3BF0" w:rsidRDefault="003A3BF0" w:rsidP="00376444">
      <w:pPr>
        <w:rPr>
          <w:rFonts w:ascii="黑体" w:eastAsia="黑体" w:hAnsi="黑体" w:hint="eastAsia"/>
          <w:color w:val="000000"/>
          <w:sz w:val="32"/>
          <w:szCs w:val="32"/>
        </w:rPr>
      </w:pPr>
    </w:p>
    <w:p w14:paraId="06935147" w14:textId="788E8078" w:rsidR="007D5E56" w:rsidRDefault="00E513F6" w:rsidP="00376444">
      <w:pPr>
        <w:rPr>
          <w:rFonts w:ascii="黑体" w:eastAsia="黑体" w:hAnsi="黑体"/>
          <w:color w:val="000000"/>
          <w:sz w:val="32"/>
          <w:szCs w:val="32"/>
        </w:rPr>
      </w:pPr>
      <w:r>
        <w:rPr>
          <w:rFonts w:ascii="黑体" w:eastAsia="黑体" w:hAnsi="黑体" w:hint="eastAsia"/>
          <w:color w:val="000000"/>
          <w:sz w:val="32"/>
          <w:szCs w:val="32"/>
        </w:rPr>
        <w:t>附件1</w:t>
      </w:r>
    </w:p>
    <w:p w14:paraId="5CA1C40B" w14:textId="77777777" w:rsidR="007D5E56" w:rsidRDefault="007D5E56">
      <w:pPr>
        <w:adjustRightInd w:val="0"/>
        <w:snapToGrid w:val="0"/>
        <w:spacing w:line="560" w:lineRule="exact"/>
        <w:jc w:val="left"/>
        <w:rPr>
          <w:rFonts w:ascii="黑体" w:eastAsia="黑体" w:hAnsi="黑体"/>
          <w:color w:val="000000"/>
          <w:sz w:val="32"/>
          <w:szCs w:val="32"/>
        </w:rPr>
      </w:pPr>
    </w:p>
    <w:p w14:paraId="44EAD41F" w14:textId="77777777" w:rsidR="007D5E56" w:rsidRDefault="00E513F6">
      <w:pPr>
        <w:adjustRightInd w:val="0"/>
        <w:snapToGrid w:val="0"/>
        <w:spacing w:line="560"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 xml:space="preserve">医疗器械动物试验研究注册审查指导原则 </w:t>
      </w:r>
    </w:p>
    <w:p w14:paraId="7FD876A9" w14:textId="77777777" w:rsidR="007D5E56" w:rsidRDefault="00E513F6">
      <w:pPr>
        <w:adjustRightInd w:val="0"/>
        <w:snapToGrid w:val="0"/>
        <w:spacing w:line="560"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第一部分：决策原则（2021年修订版）</w:t>
      </w:r>
    </w:p>
    <w:p w14:paraId="2E4D2396" w14:textId="77777777" w:rsidR="007D5E56" w:rsidRDefault="007D5E56">
      <w:pPr>
        <w:overflowPunct w:val="0"/>
        <w:adjustRightInd w:val="0"/>
        <w:spacing w:line="560" w:lineRule="exact"/>
        <w:ind w:firstLineChars="200" w:firstLine="640"/>
        <w:rPr>
          <w:rFonts w:eastAsia="黑体"/>
          <w:color w:val="000000"/>
          <w:sz w:val="32"/>
          <w:szCs w:val="32"/>
        </w:rPr>
      </w:pPr>
    </w:p>
    <w:p w14:paraId="605B0470"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医疗器械安全性和有效性评价研究应采用科学、合理的评价方法，其中动物试验是重要手段之一，其属于产品设计开发中的重要研究，可为产品设计定型提供相应的证据支持；若需开展临床试验，可为医疗器械能否用于人体研究提供支持，降低临床试验受试者及使用者的风险以及为临床试验设计提供参考。</w:t>
      </w:r>
    </w:p>
    <w:p w14:paraId="1EC61973"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但并不是所有医疗器械均需要通过动物试验验证产品安全性和有效性。为了对开展动物试验的必要性判定提供指导</w:t>
      </w:r>
      <w:r>
        <w:rPr>
          <w:rFonts w:eastAsia="仿宋_GB2312" w:hint="eastAsia"/>
          <w:sz w:val="32"/>
          <w:szCs w:val="32"/>
        </w:rPr>
        <w:t>，减少动物试验研究数量，避免开展不必要的动物试验</w:t>
      </w:r>
      <w:r>
        <w:rPr>
          <w:rFonts w:eastAsia="仿宋_GB2312"/>
          <w:sz w:val="32"/>
          <w:szCs w:val="32"/>
        </w:rPr>
        <w:t>，特制订本指导</w:t>
      </w:r>
      <w:r>
        <w:rPr>
          <w:rFonts w:eastAsia="仿宋_GB2312"/>
          <w:sz w:val="32"/>
          <w:szCs w:val="32"/>
        </w:rPr>
        <w:lastRenderedPageBreak/>
        <w:t>原则。</w:t>
      </w:r>
    </w:p>
    <w:p w14:paraId="30CB25AC"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本指导原则为医疗器械动物试验研究技术审查指导原则系列中的第一部分，为判定是否开展医疗器械动物试验的决策原则，关于动物试验设计等其</w:t>
      </w:r>
      <w:r>
        <w:rPr>
          <w:rFonts w:eastAsia="仿宋_GB2312" w:hint="eastAsia"/>
          <w:sz w:val="32"/>
          <w:szCs w:val="32"/>
        </w:rPr>
        <w:t>他</w:t>
      </w:r>
      <w:r>
        <w:rPr>
          <w:rFonts w:eastAsia="仿宋_GB2312"/>
          <w:sz w:val="32"/>
          <w:szCs w:val="32"/>
        </w:rPr>
        <w:t>方面的内容请参见其他部分指导原则。</w:t>
      </w:r>
    </w:p>
    <w:p w14:paraId="7C71099A"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本指导原则是供申请人和技术审评人员使用的技术指导性文件，不涉及注册审批等行政事项，亦不作为法规强制执行，如</w:t>
      </w:r>
      <w:r>
        <w:rPr>
          <w:rFonts w:eastAsia="仿宋_GB2312"/>
          <w:spacing w:val="-6"/>
          <w:sz w:val="32"/>
          <w:szCs w:val="32"/>
        </w:rPr>
        <w:t>有能够满足法规要求的其他方法，也可以采用，但应提供充分的研究资料和验证资料。应在遵循相关法规的前提下使用本指导原则。</w:t>
      </w:r>
    </w:p>
    <w:p w14:paraId="178A5C26"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本指导原则是在现行法规和标准体系以及当前认知水平下制订的，随着法规和标准的不断完善，以及科学技术的不断发展，本指导原则相关内容也将进行适时地调整。</w:t>
      </w:r>
    </w:p>
    <w:p w14:paraId="31FDD361" w14:textId="77777777" w:rsidR="007D5E56" w:rsidRDefault="00E513F6">
      <w:pPr>
        <w:overflowPunct w:val="0"/>
        <w:adjustRightInd w:val="0"/>
        <w:spacing w:line="560" w:lineRule="exact"/>
        <w:ind w:firstLineChars="200" w:firstLine="640"/>
        <w:rPr>
          <w:rFonts w:eastAsia="黑体"/>
          <w:color w:val="000000"/>
          <w:sz w:val="32"/>
          <w:szCs w:val="32"/>
        </w:rPr>
      </w:pPr>
      <w:r>
        <w:rPr>
          <w:rFonts w:eastAsia="黑体"/>
          <w:color w:val="000000"/>
          <w:sz w:val="32"/>
          <w:szCs w:val="32"/>
        </w:rPr>
        <w:t>一、适用范围</w:t>
      </w:r>
    </w:p>
    <w:p w14:paraId="71A30534"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本指导原则适用于决策医疗器械是否需在活体动物上进行在体</w:t>
      </w:r>
      <w:r>
        <w:rPr>
          <w:rFonts w:eastAsia="仿宋_GB2312" w:hint="eastAsia"/>
          <w:sz w:val="32"/>
          <w:szCs w:val="32"/>
        </w:rPr>
        <w:t>试验</w:t>
      </w:r>
      <w:r>
        <w:rPr>
          <w:rFonts w:eastAsia="仿宋_GB2312"/>
          <w:sz w:val="32"/>
          <w:szCs w:val="32"/>
        </w:rPr>
        <w:t>，不包括在非活体动物、离体组织或器官上进行的研究。</w:t>
      </w:r>
    </w:p>
    <w:p w14:paraId="160B9B59"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以下情况可参考本指导原则：</w:t>
      </w:r>
    </w:p>
    <w:p w14:paraId="565357C2" w14:textId="77777777" w:rsidR="007D5E56" w:rsidRPr="00E86006" w:rsidRDefault="00E513F6">
      <w:pPr>
        <w:autoSpaceDE w:val="0"/>
        <w:autoSpaceDN w:val="0"/>
        <w:adjustRightInd w:val="0"/>
        <w:spacing w:line="560" w:lineRule="exact"/>
        <w:ind w:firstLineChars="200" w:firstLine="640"/>
        <w:rPr>
          <w:rFonts w:ascii="楷体_GB2312" w:eastAsia="楷体_GB2312" w:hAnsi="楷体_GB2312" w:cs="楷体_GB2312"/>
          <w:sz w:val="32"/>
          <w:szCs w:val="32"/>
        </w:rPr>
      </w:pPr>
      <w:r w:rsidRPr="00E86006">
        <w:rPr>
          <w:rFonts w:ascii="楷体_GB2312" w:eastAsia="楷体_GB2312" w:hAnsi="楷体_GB2312" w:cs="楷体_GB2312" w:hint="eastAsia"/>
          <w:sz w:val="32"/>
          <w:szCs w:val="32"/>
        </w:rPr>
        <w:t>（一）医疗器械申请人在设计开发阶段确定是否需要开展动物试验时；</w:t>
      </w:r>
    </w:p>
    <w:p w14:paraId="565A90AE" w14:textId="77777777" w:rsidR="007D5E56" w:rsidRPr="00E86006" w:rsidRDefault="00E513F6">
      <w:pPr>
        <w:autoSpaceDE w:val="0"/>
        <w:autoSpaceDN w:val="0"/>
        <w:adjustRightInd w:val="0"/>
        <w:spacing w:line="560" w:lineRule="exact"/>
        <w:ind w:firstLineChars="200" w:firstLine="640"/>
        <w:rPr>
          <w:rFonts w:ascii="楷体_GB2312" w:eastAsia="楷体_GB2312" w:hAnsi="楷体_GB2312" w:cs="楷体_GB2312"/>
          <w:sz w:val="32"/>
          <w:szCs w:val="32"/>
        </w:rPr>
      </w:pPr>
      <w:r w:rsidRPr="00E86006">
        <w:rPr>
          <w:rFonts w:ascii="楷体_GB2312" w:eastAsia="楷体_GB2312" w:hAnsi="楷体_GB2312" w:cs="楷体_GB2312" w:hint="eastAsia"/>
          <w:sz w:val="32"/>
          <w:szCs w:val="32"/>
        </w:rPr>
        <w:t>（二）医疗器械监管机构在技术审评环节评价开展动物试验的必要性时。</w:t>
      </w:r>
    </w:p>
    <w:p w14:paraId="6B6D4FEE"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本指导原则不替代</w:t>
      </w:r>
      <w:r>
        <w:rPr>
          <w:rFonts w:eastAsia="仿宋_GB2312"/>
          <w:sz w:val="32"/>
          <w:szCs w:val="32"/>
        </w:rPr>
        <w:t>GB/T 16886</w:t>
      </w:r>
      <w:r>
        <w:rPr>
          <w:rFonts w:eastAsia="仿宋_GB2312"/>
          <w:sz w:val="32"/>
          <w:szCs w:val="32"/>
        </w:rPr>
        <w:t>系列标准等医疗器械生物学</w:t>
      </w:r>
      <w:r>
        <w:rPr>
          <w:rFonts w:eastAsia="仿宋_GB2312"/>
          <w:spacing w:val="-6"/>
          <w:sz w:val="32"/>
          <w:szCs w:val="32"/>
        </w:rPr>
        <w:t>评价相关的技术文件。如通过动物试验方式评价医疗器械的生物相容性，亦应符合</w:t>
      </w:r>
      <w:r>
        <w:rPr>
          <w:rFonts w:eastAsia="仿宋_GB2312"/>
          <w:spacing w:val="-6"/>
          <w:sz w:val="32"/>
          <w:szCs w:val="32"/>
        </w:rPr>
        <w:t>GB/T 16886</w:t>
      </w:r>
      <w:r>
        <w:rPr>
          <w:rFonts w:eastAsia="仿宋_GB2312"/>
          <w:spacing w:val="-6"/>
          <w:sz w:val="32"/>
          <w:szCs w:val="32"/>
        </w:rPr>
        <w:t>系列标准等生物学评价相关技术文件。</w:t>
      </w:r>
    </w:p>
    <w:p w14:paraId="5BA04CCE"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如有针对特定产品的指导原则发布，则遵循相应产品的指导</w:t>
      </w:r>
      <w:r>
        <w:rPr>
          <w:rFonts w:eastAsia="仿宋_GB2312"/>
          <w:sz w:val="32"/>
          <w:szCs w:val="32"/>
        </w:rPr>
        <w:lastRenderedPageBreak/>
        <w:t>原则。</w:t>
      </w:r>
    </w:p>
    <w:p w14:paraId="2FAF51AE"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本指导原则不适用于按照医疗器械管理的体外诊断试剂。</w:t>
      </w:r>
    </w:p>
    <w:p w14:paraId="73DD47B1"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医疗器械临床试验伦理审查时，可参考本指导原则中适用部分以评估临床前动物试验的必要性。</w:t>
      </w:r>
    </w:p>
    <w:p w14:paraId="0B143615" w14:textId="77777777" w:rsidR="007D5E56" w:rsidRDefault="00E513F6">
      <w:pPr>
        <w:overflowPunct w:val="0"/>
        <w:adjustRightInd w:val="0"/>
        <w:spacing w:line="560" w:lineRule="exact"/>
        <w:ind w:firstLineChars="200" w:firstLine="640"/>
        <w:rPr>
          <w:rFonts w:eastAsia="黑体"/>
          <w:color w:val="000000"/>
          <w:sz w:val="32"/>
          <w:szCs w:val="32"/>
        </w:rPr>
      </w:pPr>
      <w:r>
        <w:rPr>
          <w:rFonts w:eastAsia="黑体"/>
          <w:color w:val="000000"/>
          <w:sz w:val="32"/>
          <w:szCs w:val="32"/>
        </w:rPr>
        <w:t>二、基本决策原则</w:t>
      </w:r>
    </w:p>
    <w:p w14:paraId="216B82F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在医疗器械设计开发阶段，决策是否开展动物试验时，建议考虑动物福利伦理原则及风险管理原则。</w:t>
      </w:r>
    </w:p>
    <w:p w14:paraId="348B440C" w14:textId="77777777" w:rsidR="007D5E56" w:rsidRPr="00E86006" w:rsidRDefault="00E513F6">
      <w:pPr>
        <w:autoSpaceDE w:val="0"/>
        <w:autoSpaceDN w:val="0"/>
        <w:adjustRightInd w:val="0"/>
        <w:spacing w:line="560" w:lineRule="exact"/>
        <w:ind w:firstLineChars="200" w:firstLine="640"/>
        <w:rPr>
          <w:rFonts w:ascii="楷体_GB2312" w:eastAsia="楷体_GB2312" w:hAnsi="楷体_GB2312" w:cs="楷体_GB2312"/>
          <w:sz w:val="32"/>
          <w:szCs w:val="32"/>
        </w:rPr>
      </w:pPr>
      <w:r w:rsidRPr="00E86006">
        <w:rPr>
          <w:rFonts w:ascii="楷体_GB2312" w:eastAsia="楷体_GB2312" w:hAnsi="楷体_GB2312" w:cs="楷体_GB2312" w:hint="eastAsia"/>
          <w:sz w:val="32"/>
          <w:szCs w:val="32"/>
        </w:rPr>
        <w:t>（一）动物福利伦理原则</w:t>
      </w:r>
    </w:p>
    <w:p w14:paraId="5DBE5ACC"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申请人需遵循动物试验的</w:t>
      </w:r>
      <w:r>
        <w:rPr>
          <w:rFonts w:eastAsia="仿宋_GB2312"/>
          <w:sz w:val="32"/>
          <w:szCs w:val="32"/>
        </w:rPr>
        <w:t>“</w:t>
      </w:r>
      <w:r>
        <w:rPr>
          <w:rFonts w:eastAsia="仿宋_GB2312"/>
          <w:sz w:val="32"/>
          <w:szCs w:val="32"/>
        </w:rPr>
        <w:t>替代（</w:t>
      </w:r>
      <w:r>
        <w:rPr>
          <w:rFonts w:eastAsia="仿宋_GB2312"/>
          <w:sz w:val="32"/>
          <w:szCs w:val="32"/>
        </w:rPr>
        <w:t>Replacement</w:t>
      </w:r>
      <w:r>
        <w:rPr>
          <w:rFonts w:eastAsia="仿宋_GB2312"/>
          <w:sz w:val="32"/>
          <w:szCs w:val="32"/>
        </w:rPr>
        <w:t>）、减少（</w:t>
      </w:r>
      <w:r>
        <w:rPr>
          <w:rFonts w:eastAsia="仿宋_GB2312"/>
          <w:sz w:val="32"/>
          <w:szCs w:val="32"/>
        </w:rPr>
        <w:t>Reduction</w:t>
      </w:r>
      <w:r>
        <w:rPr>
          <w:rFonts w:eastAsia="仿宋_GB2312"/>
          <w:sz w:val="32"/>
          <w:szCs w:val="32"/>
        </w:rPr>
        <w:t>）和优化（</w:t>
      </w:r>
      <w:r>
        <w:rPr>
          <w:rFonts w:eastAsia="仿宋_GB2312"/>
          <w:sz w:val="32"/>
          <w:szCs w:val="32"/>
        </w:rPr>
        <w:t>Refinement</w:t>
      </w:r>
      <w:r>
        <w:rPr>
          <w:rFonts w:eastAsia="仿宋_GB2312"/>
          <w:sz w:val="32"/>
          <w:szCs w:val="32"/>
        </w:rPr>
        <w:t>）</w:t>
      </w:r>
      <w:r>
        <w:rPr>
          <w:rFonts w:eastAsia="仿宋_GB2312"/>
          <w:sz w:val="32"/>
          <w:szCs w:val="32"/>
        </w:rPr>
        <w:t>”</w:t>
      </w:r>
      <w:r>
        <w:rPr>
          <w:rFonts w:eastAsia="仿宋_GB2312"/>
          <w:sz w:val="32"/>
          <w:szCs w:val="32"/>
        </w:rPr>
        <w:t>原则，即</w:t>
      </w:r>
      <w:r>
        <w:rPr>
          <w:rFonts w:eastAsia="仿宋_GB2312"/>
          <w:sz w:val="32"/>
          <w:szCs w:val="32"/>
        </w:rPr>
        <w:t>3R</w:t>
      </w:r>
      <w:r>
        <w:rPr>
          <w:rFonts w:eastAsia="仿宋_GB2312"/>
          <w:sz w:val="32"/>
          <w:szCs w:val="32"/>
        </w:rPr>
        <w:t>原则。</w:t>
      </w:r>
    </w:p>
    <w:p w14:paraId="6AAE272A"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申请人在决策是否开展动物试验前，需要特别考虑动物福利伦理，充分开展实验室研究，不宜采用动物试验替代实验室研究。</w:t>
      </w:r>
    </w:p>
    <w:p w14:paraId="3621550B"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若有经过确认</w:t>
      </w:r>
      <w:r>
        <w:rPr>
          <w:rFonts w:eastAsia="仿宋_GB2312"/>
          <w:sz w:val="32"/>
          <w:szCs w:val="32"/>
        </w:rPr>
        <w:t>/</w:t>
      </w:r>
      <w:r>
        <w:rPr>
          <w:rFonts w:eastAsia="仿宋_GB2312"/>
          <w:sz w:val="32"/>
          <w:szCs w:val="32"/>
        </w:rPr>
        <w:t>验证的非活体研究、计算机模拟等方法，则优先采用上述方法以替代动物试验。</w:t>
      </w:r>
    </w:p>
    <w:p w14:paraId="37C85838"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申请人宜充分利用已有的信息获取产品安全性、有效性和可行性的相关证据，如可利用已有的同类产品动物试验数据或通过与市售同类产品进行性能比对等方式验证产品的安全性、有效性和可行性。</w:t>
      </w:r>
      <w:proofErr w:type="gramStart"/>
      <w:r>
        <w:rPr>
          <w:rFonts w:eastAsia="仿宋_GB2312"/>
          <w:sz w:val="32"/>
          <w:szCs w:val="32"/>
        </w:rPr>
        <w:t>若相关</w:t>
      </w:r>
      <w:proofErr w:type="gramEnd"/>
      <w:r>
        <w:rPr>
          <w:rFonts w:eastAsia="仿宋_GB2312"/>
          <w:sz w:val="32"/>
          <w:szCs w:val="32"/>
        </w:rPr>
        <w:t>证据充分，可免于动物试验。</w:t>
      </w:r>
    </w:p>
    <w:p w14:paraId="1BED324A"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楷体_GB2312"/>
          <w:color w:val="000000"/>
          <w:sz w:val="32"/>
          <w:szCs w:val="32"/>
        </w:rPr>
        <w:t>（二）风险管理原则</w:t>
      </w:r>
    </w:p>
    <w:p w14:paraId="75AF0178"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申请人在医疗器械设计开发时应进行充分的风险管理活动。风险控制作为风险管理的重要部分，是将风险降低并维持在规定水平的过程。实施每一项风险控制措施后应对其有效性予以验证（其中包括确认活动）。实验室研究或动物试验等均是验证风险</w:t>
      </w:r>
      <w:r>
        <w:rPr>
          <w:rFonts w:eastAsia="仿宋_GB2312"/>
          <w:sz w:val="32"/>
          <w:szCs w:val="32"/>
        </w:rPr>
        <w:lastRenderedPageBreak/>
        <w:t>控制措施有效性的手段，申请人宜尽可能地通过前期研究（如实验室研究等）对已识别风险的控制措施有效性进行验证，只有在实验室研究不足时，才考虑通过动物试验开展进一步验证。动物试验资料可作为风险</w:t>
      </w:r>
      <w:r>
        <w:rPr>
          <w:rFonts w:eastAsia="仿宋_GB2312"/>
          <w:sz w:val="32"/>
          <w:szCs w:val="32"/>
        </w:rPr>
        <w:t>/</w:t>
      </w:r>
      <w:r>
        <w:rPr>
          <w:rFonts w:eastAsia="仿宋_GB2312"/>
          <w:sz w:val="32"/>
          <w:szCs w:val="32"/>
        </w:rPr>
        <w:t>受益分析时的支持性资料。</w:t>
      </w:r>
    </w:p>
    <w:p w14:paraId="55D84876"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如需通过动物试验进行风险控制措施有效性的验证，则结合动物试验目的，一般从可行性、有效性、安全性三方面进行考虑：</w:t>
      </w:r>
    </w:p>
    <w:p w14:paraId="6560B80C"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可行性</w:t>
      </w:r>
    </w:p>
    <w:p w14:paraId="4A8194C0"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可行性研究是指产品设计开发阶段进行的，对产品工作原理、作用机理、设计、可操作性、功能性、安全性等方面进行确认</w:t>
      </w:r>
      <w:r>
        <w:rPr>
          <w:rFonts w:eastAsia="仿宋_GB2312"/>
          <w:sz w:val="32"/>
          <w:szCs w:val="32"/>
        </w:rPr>
        <w:t>/</w:t>
      </w:r>
      <w:r>
        <w:rPr>
          <w:rFonts w:eastAsia="仿宋_GB2312"/>
          <w:sz w:val="32"/>
          <w:szCs w:val="32"/>
        </w:rPr>
        <w:t>验证，或识别新的非预期风险的研究，如生物可吸收支架平台材料的筛选、经导管瓣膜置换装置的设计可行性、迭代设计更新的验证等。</w:t>
      </w:r>
    </w:p>
    <w:p w14:paraId="68347545"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有效性</w:t>
      </w:r>
    </w:p>
    <w:p w14:paraId="3F83CB0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尽管动物与人体之间，在部分医疗器械的有效性方面可能存在一定差异，但设计合理的动物试验可支持产品的有效性（包括性能和操作），如可吸收防粘连医疗器械的防粘连性能评价，组织修复材料引导组织重建的有效性评价，多孔涂层关节类产品或</w:t>
      </w:r>
      <w:r>
        <w:rPr>
          <w:rFonts w:eastAsia="仿宋_GB2312"/>
          <w:sz w:val="32"/>
          <w:szCs w:val="32"/>
        </w:rPr>
        <w:t>3D</w:t>
      </w:r>
      <w:r>
        <w:rPr>
          <w:rFonts w:eastAsia="仿宋_GB2312"/>
          <w:sz w:val="32"/>
          <w:szCs w:val="32"/>
        </w:rPr>
        <w:t>打印多孔结构产品的骨结</w:t>
      </w:r>
      <w:proofErr w:type="gramStart"/>
      <w:r>
        <w:rPr>
          <w:rFonts w:eastAsia="仿宋_GB2312"/>
          <w:sz w:val="32"/>
          <w:szCs w:val="32"/>
        </w:rPr>
        <w:t>合效果</w:t>
      </w:r>
      <w:proofErr w:type="gramEnd"/>
      <w:r>
        <w:rPr>
          <w:rFonts w:eastAsia="仿宋_GB2312"/>
          <w:sz w:val="32"/>
          <w:szCs w:val="32"/>
        </w:rPr>
        <w:t>评价等。</w:t>
      </w:r>
    </w:p>
    <w:p w14:paraId="3E0FD7A1"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安全性</w:t>
      </w:r>
    </w:p>
    <w:p w14:paraId="00D01568"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申请人采取风险控制措施后，部分产品安全性可适当采用动物试验研究进行评价，如含药医疗器械中药物安全性范围研究，通过组织病理学等方式的毒理学评价、产品对生物体的损伤评价，动物源性材料的抗钙化性能，外科血管闭合设备的血管热损伤研</w:t>
      </w:r>
      <w:r>
        <w:rPr>
          <w:rFonts w:eastAsia="仿宋_GB2312"/>
          <w:sz w:val="32"/>
          <w:szCs w:val="32"/>
        </w:rPr>
        <w:lastRenderedPageBreak/>
        <w:t>究，防粘连器械与组织粘连相关并发症的评价等。</w:t>
      </w:r>
    </w:p>
    <w:p w14:paraId="49D1E90F"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hint="eastAsia"/>
          <w:sz w:val="32"/>
          <w:szCs w:val="32"/>
        </w:rPr>
        <w:t>试验</w:t>
      </w:r>
      <w:r>
        <w:rPr>
          <w:rFonts w:eastAsia="仿宋_GB2312"/>
          <w:sz w:val="32"/>
          <w:szCs w:val="32"/>
        </w:rPr>
        <w:t>目的有时是不能严格划分界限的，因此一项动物试验可能同时对产品的可行性、有效性、安全性进行评价。</w:t>
      </w:r>
    </w:p>
    <w:p w14:paraId="14E6B9B9"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若产品采用新的作用机理、工作原理、设计、主要材料</w:t>
      </w:r>
      <w:r>
        <w:rPr>
          <w:rFonts w:eastAsia="仿宋_GB2312"/>
          <w:sz w:val="32"/>
          <w:szCs w:val="32"/>
        </w:rPr>
        <w:t>/</w:t>
      </w:r>
      <w:r>
        <w:rPr>
          <w:rFonts w:eastAsia="仿宋_GB2312"/>
          <w:sz w:val="32"/>
          <w:szCs w:val="32"/>
        </w:rPr>
        <w:t>配方、应用方法（如手术操作）、预期用途、增加新的适用范围、改进某方面性能等，申请人应针对产品创新点相关风险进行评估，并考虑通过动物试验对风险控制措施的有效性进行验证。</w:t>
      </w:r>
    </w:p>
    <w:p w14:paraId="726FA1E8"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申请人可参考以下决策流程图进行是否开展动物试验的决策。</w:t>
      </w:r>
    </w:p>
    <w:p w14:paraId="3FA327DC" w14:textId="77777777" w:rsidR="007D5E56" w:rsidRDefault="00376444">
      <w:pPr>
        <w:adjustRightInd w:val="0"/>
        <w:spacing w:line="360" w:lineRule="auto"/>
        <w:jc w:val="center"/>
        <w:rPr>
          <w:rFonts w:ascii="黑体" w:eastAsia="黑体" w:hAnsi="黑体" w:cs="黑体"/>
          <w:color w:val="000000"/>
          <w:sz w:val="28"/>
          <w:szCs w:val="28"/>
        </w:rPr>
      </w:pPr>
      <w:r>
        <w:rPr>
          <w:rFonts w:ascii="黑体" w:eastAsia="黑体" w:hAnsi="黑体" w:cs="黑体" w:hint="eastAsia"/>
          <w:noProof/>
          <w:color w:val="000000"/>
        </w:rPr>
        <w:lastRenderedPageBreak/>
        <mc:AlternateContent>
          <mc:Choice Requires="wpc">
            <w:drawing>
              <wp:anchor distT="0" distB="0" distL="114300" distR="114300" simplePos="0" relativeHeight="251659264" behindDoc="0" locked="0" layoutInCell="1" allowOverlap="0" wp14:anchorId="53489589" wp14:editId="229D87EE">
                <wp:simplePos x="0" y="0"/>
                <wp:positionH relativeFrom="column">
                  <wp:posOffset>-267335</wp:posOffset>
                </wp:positionH>
                <wp:positionV relativeFrom="paragraph">
                  <wp:posOffset>88900</wp:posOffset>
                </wp:positionV>
                <wp:extent cx="6140450" cy="8110855"/>
                <wp:effectExtent l="0" t="0" r="3175" b="0"/>
                <wp:wrapSquare wrapText="bothSides"/>
                <wp:docPr id="38"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Text Box 4"/>
                        <wps:cNvSpPr txBox="1">
                          <a:spLocks noChangeArrowheads="1"/>
                        </wps:cNvSpPr>
                        <wps:spPr bwMode="auto">
                          <a:xfrm>
                            <a:off x="963295" y="5812790"/>
                            <a:ext cx="2119630" cy="508635"/>
                          </a:xfrm>
                          <a:prstGeom prst="rect">
                            <a:avLst/>
                          </a:prstGeom>
                          <a:solidFill>
                            <a:srgbClr val="FFFFFF"/>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906D4B3" w14:textId="77777777" w:rsidR="007D5E56"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五</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-3、</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九</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十一</w:t>
                              </w:r>
                              <w:r>
                                <w:rPr>
                                  <w:rFonts w:ascii="隶书" w:eastAsia="隶书"/>
                                  <w:sz w:val="18"/>
                                  <w:szCs w:val="18"/>
                                  <w:lang w:val="en"/>
                                </w:rPr>
                                <w:t>）</w:t>
                              </w:r>
                            </w:p>
                          </w:txbxContent>
                        </wps:txbx>
                        <wps:bodyPr rot="0" vert="horz" wrap="square" lIns="91440" tIns="45720" rIns="91440" bIns="45720" anchor="t" anchorCtr="0" upright="1">
                          <a:noAutofit/>
                        </wps:bodyPr>
                      </wps:wsp>
                      <wps:wsp>
                        <wps:cNvPr id="5" name="AutoShape 121"/>
                        <wps:cNvCnPr>
                          <a:cxnSpLocks noChangeShapeType="1"/>
                        </wps:cNvCnPr>
                        <wps:spPr bwMode="auto">
                          <a:xfrm flipH="1" flipV="1">
                            <a:off x="1238250" y="7018655"/>
                            <a:ext cx="727075" cy="8255"/>
                          </a:xfrm>
                          <a:prstGeom prst="straightConnector1">
                            <a:avLst/>
                          </a:prstGeom>
                          <a:noFill/>
                          <a:ln w="9525" cmpd="sng">
                            <a:solidFill>
                              <a:srgbClr val="000000"/>
                            </a:solidFill>
                            <a:round/>
                            <a:headEnd/>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 name="AutoShape 122"/>
                        <wps:cNvCnPr>
                          <a:cxnSpLocks noChangeShapeType="1"/>
                        </wps:cNvCnPr>
                        <wps:spPr bwMode="auto">
                          <a:xfrm flipH="1">
                            <a:off x="3017520" y="4067175"/>
                            <a:ext cx="6350" cy="322580"/>
                          </a:xfrm>
                          <a:prstGeom prst="straightConnector1">
                            <a:avLst/>
                          </a:prstGeom>
                          <a:noFill/>
                          <a:ln w="9525" cmpd="sng">
                            <a:solidFill>
                              <a:srgbClr val="000000"/>
                            </a:solidFill>
                            <a:round/>
                            <a:headEnd/>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 name="Rectangle 126"/>
                        <wps:cNvSpPr>
                          <a:spLocks noChangeArrowheads="1"/>
                        </wps:cNvSpPr>
                        <wps:spPr bwMode="auto">
                          <a:xfrm>
                            <a:off x="1486535" y="6788150"/>
                            <a:ext cx="228600" cy="250190"/>
                          </a:xfrm>
                          <a:prstGeom prst="rect">
                            <a:avLst/>
                          </a:prstGeom>
                          <a:solidFill>
                            <a:srgbClr val="FFFFFF">
                              <a:alpha val="0"/>
                            </a:srgbClr>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984405E" w14:textId="77777777" w:rsidR="007D5E56" w:rsidRDefault="00E513F6">
                              <w:pPr>
                                <w:rPr>
                                  <w:rFonts w:ascii="隶书" w:eastAsia="隶书"/>
                                  <w:sz w:val="18"/>
                                  <w:szCs w:val="18"/>
                                </w:rPr>
                              </w:pPr>
                              <w:r>
                                <w:rPr>
                                  <w:rFonts w:ascii="隶书" w:eastAsia="隶书" w:hint="eastAsia"/>
                                  <w:sz w:val="18"/>
                                  <w:szCs w:val="18"/>
                                </w:rPr>
                                <w:t>否</w:t>
                              </w:r>
                            </w:p>
                          </w:txbxContent>
                        </wps:txbx>
                        <wps:bodyPr rot="0" vert="horz" wrap="square" lIns="91440" tIns="45720" rIns="91440" bIns="45720" anchor="t" anchorCtr="0" upright="1">
                          <a:noAutofit/>
                        </wps:bodyPr>
                      </wps:wsp>
                      <wps:wsp>
                        <wps:cNvPr id="8" name="AutoShape 160"/>
                        <wps:cNvCnPr>
                          <a:cxnSpLocks noChangeShapeType="1"/>
                        </wps:cNvCnPr>
                        <wps:spPr bwMode="auto">
                          <a:xfrm flipH="1">
                            <a:off x="3009265" y="5888990"/>
                            <a:ext cx="8255" cy="393065"/>
                          </a:xfrm>
                          <a:prstGeom prst="straightConnector1">
                            <a:avLst/>
                          </a:prstGeom>
                          <a:noFill/>
                          <a:ln w="9525" cmpd="sng">
                            <a:solidFill>
                              <a:srgbClr val="000000"/>
                            </a:solidFill>
                            <a:round/>
                            <a:headEnd/>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 name="Oval 9"/>
                        <wps:cNvSpPr>
                          <a:spLocks noChangeArrowheads="1"/>
                        </wps:cNvSpPr>
                        <wps:spPr bwMode="auto">
                          <a:xfrm>
                            <a:off x="3870960" y="1294765"/>
                            <a:ext cx="565150" cy="572770"/>
                          </a:xfrm>
                          <a:prstGeom prst="ellipse">
                            <a:avLst/>
                          </a:prstGeom>
                          <a:solidFill>
                            <a:srgbClr val="FFFFFF"/>
                          </a:solidFill>
                          <a:ln w="9525" cmpd="sng">
                            <a:solidFill>
                              <a:srgbClr val="FFFFFF"/>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5908957" w14:textId="77777777" w:rsidR="007D5E56" w:rsidRDefault="00E513F6">
                              <w:pPr>
                                <w:rPr>
                                  <w:rFonts w:ascii="隶书" w:eastAsia="隶书"/>
                                  <w:sz w:val="18"/>
                                  <w:szCs w:val="18"/>
                                </w:rPr>
                              </w:pPr>
                              <w:r>
                                <w:rPr>
                                  <w:rFonts w:ascii="隶书" w:eastAsia="隶书" w:hint="eastAsia"/>
                                  <w:sz w:val="18"/>
                                  <w:szCs w:val="18"/>
                                </w:rPr>
                                <w:t>……</w:t>
                              </w:r>
                            </w:p>
                          </w:txbxContent>
                        </wps:txbx>
                        <wps:bodyPr rot="0" vert="horz" wrap="square" lIns="91440" tIns="45720" rIns="91440" bIns="45720" anchor="t" anchorCtr="0" upright="1">
                          <a:noAutofit/>
                        </wps:bodyPr>
                      </wps:wsp>
                      <wps:wsp>
                        <wps:cNvPr id="10" name="Oval 10"/>
                        <wps:cNvSpPr>
                          <a:spLocks noChangeArrowheads="1"/>
                        </wps:cNvSpPr>
                        <wps:spPr bwMode="auto">
                          <a:xfrm>
                            <a:off x="2119630" y="1061720"/>
                            <a:ext cx="1820545" cy="895350"/>
                          </a:xfrm>
                          <a:prstGeom prst="ellipse">
                            <a:avLst/>
                          </a:prstGeom>
                          <a:solidFill>
                            <a:srgbClr val="FFFFFF"/>
                          </a:solidFill>
                          <a:ln w="9525" cmpd="sng">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37F2A1D" w14:textId="77777777" w:rsidR="007D5E56" w:rsidRDefault="00E513F6">
                              <w:pPr>
                                <w:rPr>
                                  <w:rFonts w:ascii="隶书" w:eastAsia="隶书"/>
                                  <w:sz w:val="18"/>
                                  <w:szCs w:val="18"/>
                                </w:rPr>
                              </w:pPr>
                              <w:r>
                                <w:rPr>
                                  <w:rFonts w:ascii="隶书" w:eastAsia="隶书" w:hint="eastAsia"/>
                                  <w:sz w:val="18"/>
                                  <w:szCs w:val="18"/>
                                </w:rPr>
                                <w:t>已有信息，如与市售同类产品的性能对比研究</w:t>
                              </w:r>
                            </w:p>
                            <w:p w14:paraId="507F853B" w14:textId="77777777" w:rsidR="007D5E56" w:rsidRDefault="00E513F6">
                              <w:pPr>
                                <w:jc w:val="center"/>
                                <w:rPr>
                                  <w:rFonts w:ascii="隶书" w:eastAsia="隶书"/>
                                  <w:sz w:val="18"/>
                                  <w:szCs w:val="18"/>
                                </w:rPr>
                              </w:pPr>
                              <w:r>
                                <w:rPr>
                                  <w:rFonts w:ascii="隶书" w:eastAsia="隶书" w:hint="eastAsia"/>
                                  <w:sz w:val="18"/>
                                  <w:szCs w:val="18"/>
                                </w:rPr>
                                <w:t>（B）</w:t>
                              </w:r>
                            </w:p>
                          </w:txbxContent>
                        </wps:txbx>
                        <wps:bodyPr rot="0" vert="horz" wrap="square" lIns="91440" tIns="45720" rIns="91440" bIns="45720" anchor="t" anchorCtr="0" upright="1">
                          <a:noAutofit/>
                        </wps:bodyPr>
                      </wps:wsp>
                      <wps:wsp>
                        <wps:cNvPr id="11" name="Rectangle 126"/>
                        <wps:cNvSpPr>
                          <a:spLocks noChangeArrowheads="1"/>
                        </wps:cNvSpPr>
                        <wps:spPr bwMode="auto">
                          <a:xfrm>
                            <a:off x="4212590" y="6793865"/>
                            <a:ext cx="228600" cy="250190"/>
                          </a:xfrm>
                          <a:prstGeom prst="rect">
                            <a:avLst/>
                          </a:prstGeom>
                          <a:solidFill>
                            <a:srgbClr val="FFFFFF">
                              <a:alpha val="0"/>
                            </a:srgbClr>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54DDA6" w14:textId="77777777" w:rsidR="007D5E56" w:rsidRDefault="00E513F6">
                              <w:pPr>
                                <w:rPr>
                                  <w:rFonts w:ascii="隶书" w:eastAsia="隶书"/>
                                  <w:sz w:val="18"/>
                                  <w:szCs w:val="18"/>
                                </w:rPr>
                              </w:pPr>
                              <w:r>
                                <w:rPr>
                                  <w:rFonts w:ascii="隶书" w:eastAsia="隶书" w:hint="eastAsia"/>
                                  <w:sz w:val="18"/>
                                  <w:szCs w:val="18"/>
                                </w:rPr>
                                <w:t>是</w:t>
                              </w:r>
                            </w:p>
                          </w:txbxContent>
                        </wps:txbx>
                        <wps:bodyPr rot="0" vert="horz" wrap="square" lIns="91440" tIns="45720" rIns="91440" bIns="45720" anchor="t" anchorCtr="0" upright="1">
                          <a:noAutofit/>
                        </wps:bodyPr>
                      </wps:wsp>
                      <wps:wsp>
                        <wps:cNvPr id="12" name="AutoShape 144"/>
                        <wps:cNvCnPr>
                          <a:cxnSpLocks noChangeShapeType="1"/>
                        </wps:cNvCnPr>
                        <wps:spPr bwMode="auto">
                          <a:xfrm>
                            <a:off x="4052570" y="7026910"/>
                            <a:ext cx="756920" cy="11430"/>
                          </a:xfrm>
                          <a:prstGeom prst="straightConnector1">
                            <a:avLst/>
                          </a:prstGeom>
                          <a:noFill/>
                          <a:ln w="9525" cmpd="sng">
                            <a:solidFill>
                              <a:srgbClr val="000000"/>
                            </a:solidFill>
                            <a:round/>
                            <a:headEnd/>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 name="Oval 13"/>
                        <wps:cNvSpPr>
                          <a:spLocks noChangeArrowheads="1"/>
                        </wps:cNvSpPr>
                        <wps:spPr bwMode="auto">
                          <a:xfrm>
                            <a:off x="4353560" y="1088390"/>
                            <a:ext cx="1627505" cy="873125"/>
                          </a:xfrm>
                          <a:prstGeom prst="ellipse">
                            <a:avLst/>
                          </a:prstGeom>
                          <a:solidFill>
                            <a:srgbClr val="FFFFFF"/>
                          </a:solidFill>
                          <a:ln w="9525" cmpd="sng">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F923B19" w14:textId="77777777" w:rsidR="007D5E56" w:rsidRDefault="00E513F6">
                              <w:pPr>
                                <w:rPr>
                                  <w:rFonts w:ascii="隶书" w:eastAsia="隶书"/>
                                  <w:sz w:val="18"/>
                                  <w:szCs w:val="18"/>
                                </w:rPr>
                              </w:pPr>
                              <w:r>
                                <w:rPr>
                                  <w:rFonts w:ascii="隶书" w:eastAsia="隶书" w:hint="eastAsia"/>
                                  <w:sz w:val="18"/>
                                  <w:szCs w:val="18"/>
                                </w:rPr>
                                <w:t>替代性研究如非活体研究、计算机模拟</w:t>
                              </w:r>
                            </w:p>
                            <w:p w14:paraId="17F1FFD5" w14:textId="77777777" w:rsidR="007D5E56" w:rsidRDefault="00E513F6">
                              <w:pPr>
                                <w:jc w:val="center"/>
                                <w:rPr>
                                  <w:rFonts w:ascii="隶书" w:eastAsia="隶书"/>
                                  <w:sz w:val="18"/>
                                  <w:szCs w:val="18"/>
                                </w:rPr>
                              </w:pPr>
                              <w:r>
                                <w:rPr>
                                  <w:rFonts w:ascii="隶书" w:eastAsia="隶书" w:hint="eastAsia"/>
                                  <w:sz w:val="18"/>
                                  <w:szCs w:val="18"/>
                                </w:rPr>
                                <w:t>（C）</w:t>
                              </w:r>
                            </w:p>
                          </w:txbxContent>
                        </wps:txbx>
                        <wps:bodyPr rot="0" vert="horz" wrap="square" lIns="91440" tIns="45720" rIns="91440" bIns="45720" anchor="t" anchorCtr="0" upright="1">
                          <a:noAutofit/>
                        </wps:bodyPr>
                      </wps:wsp>
                      <wps:wsp>
                        <wps:cNvPr id="14" name="Oval 14"/>
                        <wps:cNvSpPr>
                          <a:spLocks noChangeArrowheads="1"/>
                        </wps:cNvSpPr>
                        <wps:spPr bwMode="auto">
                          <a:xfrm>
                            <a:off x="168910" y="1042670"/>
                            <a:ext cx="1722755" cy="882650"/>
                          </a:xfrm>
                          <a:prstGeom prst="ellipse">
                            <a:avLst/>
                          </a:prstGeom>
                          <a:solidFill>
                            <a:srgbClr val="FFFFFF"/>
                          </a:solidFill>
                          <a:ln w="9525" cmpd="sng">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21554FA" w14:textId="77777777" w:rsidR="007D5E56" w:rsidRDefault="007D5E56">
                              <w:pPr>
                                <w:rPr>
                                  <w:rFonts w:ascii="隶书" w:eastAsia="隶书"/>
                                  <w:sz w:val="18"/>
                                  <w:szCs w:val="18"/>
                                </w:rPr>
                              </w:pPr>
                            </w:p>
                            <w:p w14:paraId="1769ED50" w14:textId="77777777" w:rsidR="007D5E56" w:rsidRDefault="00E513F6">
                              <w:pPr>
                                <w:rPr>
                                  <w:rFonts w:ascii="隶书" w:eastAsia="隶书"/>
                                  <w:sz w:val="18"/>
                                  <w:szCs w:val="18"/>
                                </w:rPr>
                              </w:pPr>
                              <w:r>
                                <w:rPr>
                                  <w:rFonts w:ascii="隶书" w:eastAsia="隶书" w:hint="eastAsia"/>
                                  <w:sz w:val="18"/>
                                  <w:szCs w:val="18"/>
                                </w:rPr>
                                <w:t>医疗器械实验室研究</w:t>
                              </w:r>
                            </w:p>
                            <w:p w14:paraId="55C1DE84" w14:textId="77777777" w:rsidR="007D5E56" w:rsidRDefault="00E513F6">
                              <w:pPr>
                                <w:jc w:val="center"/>
                                <w:rPr>
                                  <w:rFonts w:ascii="隶书" w:eastAsia="隶书"/>
                                  <w:sz w:val="18"/>
                                  <w:szCs w:val="18"/>
                                </w:rPr>
                              </w:pPr>
                              <w:r>
                                <w:rPr>
                                  <w:rFonts w:ascii="隶书" w:eastAsia="隶书" w:hint="eastAsia"/>
                                  <w:sz w:val="18"/>
                                  <w:szCs w:val="18"/>
                                </w:rPr>
                                <w:t>（A）</w:t>
                              </w:r>
                            </w:p>
                          </w:txbxContent>
                        </wps:txbx>
                        <wps:bodyPr rot="0" vert="horz" wrap="square" lIns="91440" tIns="45720" rIns="91440" bIns="45720" anchor="t" anchorCtr="0" upright="1">
                          <a:noAutofit/>
                        </wps:bodyPr>
                      </wps:wsp>
                      <wps:wsp>
                        <wps:cNvPr id="15" name="AutoShape 15"/>
                        <wps:cNvCnPr>
                          <a:cxnSpLocks noChangeShapeType="1"/>
                        </wps:cNvCnPr>
                        <wps:spPr bwMode="auto">
                          <a:xfrm>
                            <a:off x="4043680" y="5139690"/>
                            <a:ext cx="1317625" cy="1596390"/>
                          </a:xfrm>
                          <a:prstGeom prst="bentConnector2">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 name="Rectangle 126"/>
                        <wps:cNvSpPr>
                          <a:spLocks noChangeArrowheads="1"/>
                        </wps:cNvSpPr>
                        <wps:spPr bwMode="auto">
                          <a:xfrm>
                            <a:off x="4499610" y="5158740"/>
                            <a:ext cx="228600" cy="250190"/>
                          </a:xfrm>
                          <a:prstGeom prst="rect">
                            <a:avLst/>
                          </a:prstGeom>
                          <a:solidFill>
                            <a:srgbClr val="FFFFFF">
                              <a:alpha val="0"/>
                            </a:srgbClr>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9C07D9C" w14:textId="77777777" w:rsidR="007D5E56" w:rsidRDefault="00E513F6">
                              <w:pPr>
                                <w:rPr>
                                  <w:rFonts w:ascii="隶书" w:eastAsia="隶书"/>
                                  <w:sz w:val="18"/>
                                  <w:szCs w:val="18"/>
                                </w:rPr>
                              </w:pPr>
                              <w:r>
                                <w:rPr>
                                  <w:rFonts w:ascii="隶书" w:eastAsia="隶书" w:hint="eastAsia"/>
                                  <w:sz w:val="18"/>
                                  <w:szCs w:val="18"/>
                                </w:rPr>
                                <w:t>否</w:t>
                              </w:r>
                            </w:p>
                          </w:txbxContent>
                        </wps:txbx>
                        <wps:bodyPr rot="0" vert="horz" wrap="square" lIns="91440" tIns="45720" rIns="91440" bIns="45720" anchor="t" anchorCtr="0" upright="1">
                          <a:noAutofit/>
                        </wps:bodyPr>
                      </wps:wsp>
                      <wps:wsp>
                        <wps:cNvPr id="17" name="AutoShape 17"/>
                        <wps:cNvCnPr>
                          <a:cxnSpLocks noChangeShapeType="1"/>
                        </wps:cNvCnPr>
                        <wps:spPr bwMode="auto">
                          <a:xfrm>
                            <a:off x="4050030" y="3305810"/>
                            <a:ext cx="1311275" cy="3430270"/>
                          </a:xfrm>
                          <a:prstGeom prst="bentConnector2">
                            <a:avLst/>
                          </a:prstGeom>
                          <a:noFill/>
                          <a:ln w="9525" cmpd="sng">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 name="Rectangle 126"/>
                        <wps:cNvSpPr>
                          <a:spLocks noChangeArrowheads="1"/>
                        </wps:cNvSpPr>
                        <wps:spPr bwMode="auto">
                          <a:xfrm>
                            <a:off x="4580890" y="3305810"/>
                            <a:ext cx="228600" cy="250190"/>
                          </a:xfrm>
                          <a:prstGeom prst="rect">
                            <a:avLst/>
                          </a:prstGeom>
                          <a:solidFill>
                            <a:srgbClr val="FFFFFF">
                              <a:alpha val="0"/>
                            </a:srgbClr>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CBEDAE" w14:textId="77777777" w:rsidR="007D5E56" w:rsidRDefault="00E513F6">
                              <w:pPr>
                                <w:rPr>
                                  <w:rFonts w:ascii="隶书" w:eastAsia="隶书"/>
                                  <w:sz w:val="18"/>
                                  <w:szCs w:val="18"/>
                                </w:rPr>
                              </w:pPr>
                              <w:r>
                                <w:rPr>
                                  <w:rFonts w:ascii="隶书" w:eastAsia="隶书" w:hint="eastAsia"/>
                                  <w:sz w:val="18"/>
                                  <w:szCs w:val="18"/>
                                </w:rPr>
                                <w:t>是</w:t>
                              </w:r>
                            </w:p>
                          </w:txbxContent>
                        </wps:txbx>
                        <wps:bodyPr rot="0" vert="horz" wrap="square" lIns="91440" tIns="45720" rIns="91440" bIns="45720" anchor="t" anchorCtr="0" upright="1">
                          <a:noAutofit/>
                        </wps:bodyPr>
                      </wps:wsp>
                      <wps:wsp>
                        <wps:cNvPr id="19" name="Rectangle 126"/>
                        <wps:cNvSpPr>
                          <a:spLocks noChangeArrowheads="1"/>
                        </wps:cNvSpPr>
                        <wps:spPr bwMode="auto">
                          <a:xfrm>
                            <a:off x="3011805" y="5872480"/>
                            <a:ext cx="228600" cy="250190"/>
                          </a:xfrm>
                          <a:prstGeom prst="rect">
                            <a:avLst/>
                          </a:prstGeom>
                          <a:solidFill>
                            <a:srgbClr val="FFFFFF">
                              <a:alpha val="0"/>
                            </a:srgbClr>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AE401F8" w14:textId="77777777" w:rsidR="007D5E56" w:rsidRDefault="00E513F6">
                              <w:pPr>
                                <w:rPr>
                                  <w:rFonts w:ascii="隶书" w:eastAsia="隶书"/>
                                  <w:sz w:val="18"/>
                                  <w:szCs w:val="18"/>
                                </w:rPr>
                              </w:pPr>
                              <w:r>
                                <w:rPr>
                                  <w:rFonts w:ascii="隶书" w:eastAsia="隶书" w:hint="eastAsia"/>
                                  <w:sz w:val="18"/>
                                  <w:szCs w:val="18"/>
                                </w:rPr>
                                <w:t>是</w:t>
                              </w:r>
                            </w:p>
                          </w:txbxContent>
                        </wps:txbx>
                        <wps:bodyPr rot="0" vert="horz" wrap="square" lIns="91440" tIns="45720" rIns="91440" bIns="45720" anchor="t" anchorCtr="0" upright="1">
                          <a:noAutofit/>
                        </wps:bodyPr>
                      </wps:wsp>
                      <wps:wsp>
                        <wps:cNvPr id="20" name="Rectangle 126"/>
                        <wps:cNvSpPr>
                          <a:spLocks noChangeArrowheads="1"/>
                        </wps:cNvSpPr>
                        <wps:spPr bwMode="auto">
                          <a:xfrm>
                            <a:off x="3030220" y="4067175"/>
                            <a:ext cx="228600" cy="250190"/>
                          </a:xfrm>
                          <a:prstGeom prst="rect">
                            <a:avLst/>
                          </a:prstGeom>
                          <a:solidFill>
                            <a:srgbClr val="FFFFFF">
                              <a:alpha val="0"/>
                            </a:srgbClr>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8C4B9B" w14:textId="77777777" w:rsidR="007D5E56" w:rsidRDefault="00E513F6">
                              <w:pPr>
                                <w:rPr>
                                  <w:rFonts w:ascii="隶书" w:eastAsia="隶书"/>
                                  <w:sz w:val="18"/>
                                  <w:szCs w:val="18"/>
                                </w:rPr>
                              </w:pPr>
                              <w:r>
                                <w:rPr>
                                  <w:rFonts w:ascii="隶书" w:eastAsia="隶书" w:hint="eastAsia"/>
                                  <w:sz w:val="18"/>
                                  <w:szCs w:val="18"/>
                                </w:rPr>
                                <w:t>否</w:t>
                              </w:r>
                            </w:p>
                          </w:txbxContent>
                        </wps:txbx>
                        <wps:bodyPr rot="0" vert="horz" wrap="square" lIns="91440" tIns="45720" rIns="91440" bIns="45720" anchor="t" anchorCtr="0" upright="1">
                          <a:noAutofit/>
                        </wps:bodyPr>
                      </wps:wsp>
                      <wps:wsp>
                        <wps:cNvPr id="21" name="AutoShape 21"/>
                        <wps:cNvCnPr>
                          <a:cxnSpLocks noChangeShapeType="1"/>
                        </wps:cNvCnPr>
                        <wps:spPr bwMode="auto">
                          <a:xfrm flipH="1">
                            <a:off x="3023870" y="1957070"/>
                            <a:ext cx="6350" cy="586740"/>
                          </a:xfrm>
                          <a:prstGeom prst="straightConnector1">
                            <a:avLst/>
                          </a:prstGeom>
                          <a:noFill/>
                          <a:ln w="9525" cmpd="sng">
                            <a:solidFill>
                              <a:srgbClr val="000000"/>
                            </a:solidFill>
                            <a:round/>
                            <a:headEnd/>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 name="Text Box 22"/>
                        <wps:cNvSpPr txBox="1">
                          <a:spLocks noChangeArrowheads="1"/>
                        </wps:cNvSpPr>
                        <wps:spPr bwMode="auto">
                          <a:xfrm>
                            <a:off x="876300" y="3977640"/>
                            <a:ext cx="2138045" cy="508635"/>
                          </a:xfrm>
                          <a:prstGeom prst="rect">
                            <a:avLst/>
                          </a:prstGeom>
                          <a:solidFill>
                            <a:srgbClr val="FFFFFF"/>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B864C29" w14:textId="77777777" w:rsidR="007D5E56"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三</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五</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-3、</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九</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十一</w:t>
                              </w:r>
                              <w:r>
                                <w:rPr>
                                  <w:rFonts w:ascii="隶书" w:eastAsia="隶书"/>
                                  <w:sz w:val="18"/>
                                  <w:szCs w:val="18"/>
                                  <w:lang w:val="en"/>
                                </w:rPr>
                                <w:t>）</w:t>
                              </w:r>
                            </w:p>
                          </w:txbxContent>
                        </wps:txbx>
                        <wps:bodyPr rot="0" vert="horz" wrap="square" lIns="91440" tIns="45720" rIns="91440" bIns="45720" anchor="t" anchorCtr="0" upright="1">
                          <a:noAutofit/>
                        </wps:bodyPr>
                      </wps:wsp>
                      <wps:wsp>
                        <wps:cNvPr id="23" name="Text Box 23"/>
                        <wps:cNvSpPr txBox="1">
                          <a:spLocks noChangeArrowheads="1"/>
                        </wps:cNvSpPr>
                        <wps:spPr bwMode="auto">
                          <a:xfrm>
                            <a:off x="3983990" y="7126605"/>
                            <a:ext cx="857250" cy="450215"/>
                          </a:xfrm>
                          <a:prstGeom prst="rect">
                            <a:avLst/>
                          </a:prstGeom>
                          <a:solidFill>
                            <a:srgbClr val="FFFFFF"/>
                          </a:solidFill>
                          <a:ln>
                            <a:noFill/>
                          </a:ln>
                          <a:effectLst/>
                          <a:extLs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5C778B5" w14:textId="77777777" w:rsidR="007D5E56" w:rsidRDefault="00E513F6">
                              <w:pPr>
                                <w:rPr>
                                  <w:rFonts w:ascii="隶书" w:eastAsia="隶书"/>
                                  <w:sz w:val="18"/>
                                  <w:szCs w:val="18"/>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-2</w:t>
                              </w:r>
                            </w:p>
                          </w:txbxContent>
                        </wps:txbx>
                        <wps:bodyPr rot="0" vert="horz" wrap="square" lIns="91440" tIns="45720" rIns="91440" bIns="45720" anchor="t" anchorCtr="0" upright="1">
                          <a:noAutofit/>
                        </wps:bodyPr>
                      </wps:wsp>
                      <wps:wsp>
                        <wps:cNvPr id="24" name="Text Box 24"/>
                        <wps:cNvSpPr txBox="1">
                          <a:spLocks noChangeArrowheads="1"/>
                        </wps:cNvSpPr>
                        <wps:spPr bwMode="auto">
                          <a:xfrm>
                            <a:off x="4005580" y="2828925"/>
                            <a:ext cx="2134870" cy="4660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BD47166" w14:textId="77777777" w:rsidR="007D5E56" w:rsidRDefault="00E513F6">
                              <w:pPr>
                                <w:spacing w:line="200" w:lineRule="exact"/>
                                <w:rPr>
                                  <w:rFonts w:ascii="隶书" w:eastAsia="隶书"/>
                                  <w:sz w:val="18"/>
                                  <w:szCs w:val="18"/>
                                  <w:lang w:val="en"/>
                                </w:rPr>
                              </w:pPr>
                              <w:r>
                                <w:rPr>
                                  <w:rFonts w:ascii="隶书" w:eastAsia="隶书" w:hint="eastAsia"/>
                                  <w:sz w:val="18"/>
                                  <w:szCs w:val="18"/>
                                </w:rPr>
                                <w:t>A：案例</w:t>
                              </w:r>
                              <w:r>
                                <w:rPr>
                                  <w:rFonts w:ascii="隶书" w:eastAsia="隶书"/>
                                  <w:sz w:val="18"/>
                                  <w:szCs w:val="18"/>
                                  <w:lang w:val="en"/>
                                </w:rPr>
                                <w:t>（</w:t>
                              </w:r>
                              <w:r>
                                <w:rPr>
                                  <w:rFonts w:ascii="隶书" w:eastAsia="隶书" w:hint="eastAsia"/>
                                  <w:sz w:val="18"/>
                                  <w:szCs w:val="18"/>
                                </w:rPr>
                                <w:t>二</w:t>
                              </w:r>
                              <w:r>
                                <w:rPr>
                                  <w:rFonts w:ascii="隶书" w:eastAsia="隶书"/>
                                  <w:sz w:val="18"/>
                                  <w:szCs w:val="18"/>
                                  <w:lang w:val="en"/>
                                </w:rPr>
                                <w:t>）</w:t>
                              </w:r>
                            </w:p>
                            <w:p w14:paraId="200F44F3" w14:textId="77777777" w:rsidR="007D5E56" w:rsidRDefault="00E513F6">
                              <w:pPr>
                                <w:spacing w:line="200" w:lineRule="exact"/>
                                <w:rPr>
                                  <w:rFonts w:ascii="隶书" w:eastAsia="隶书"/>
                                  <w:sz w:val="18"/>
                                  <w:szCs w:val="18"/>
                                </w:rPr>
                              </w:pPr>
                              <w:r>
                                <w:rPr>
                                  <w:rFonts w:ascii="隶书" w:eastAsia="隶书" w:hint="eastAsia"/>
                                  <w:sz w:val="18"/>
                                  <w:szCs w:val="18"/>
                                </w:rPr>
                                <w:t>B：案例</w:t>
                              </w:r>
                              <w:r>
                                <w:rPr>
                                  <w:rFonts w:ascii="隶书" w:eastAsia="隶书"/>
                                  <w:sz w:val="18"/>
                                  <w:szCs w:val="18"/>
                                  <w:lang w:val="en"/>
                                </w:rPr>
                                <w:t>（</w:t>
                              </w:r>
                              <w:r>
                                <w:rPr>
                                  <w:rFonts w:ascii="隶书" w:eastAsia="隶书" w:hint="eastAsia"/>
                                  <w:sz w:val="18"/>
                                  <w:szCs w:val="18"/>
                                </w:rPr>
                                <w:t>一</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-2、</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-2</w:t>
                              </w:r>
                            </w:p>
                            <w:p w14:paraId="04D4F187" w14:textId="77777777" w:rsidR="007D5E56" w:rsidRDefault="00E513F6">
                              <w:pPr>
                                <w:spacing w:line="200" w:lineRule="exact"/>
                                <w:rPr>
                                  <w:szCs w:val="18"/>
                                </w:rPr>
                              </w:pPr>
                              <w:r>
                                <w:rPr>
                                  <w:rFonts w:ascii="隶书" w:eastAsia="隶书" w:hint="eastAsia"/>
                                  <w:sz w:val="18"/>
                                  <w:szCs w:val="18"/>
                                </w:rPr>
                                <w:t>C：案例</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-2</w:t>
                              </w:r>
                            </w:p>
                          </w:txbxContent>
                        </wps:txbx>
                        <wps:bodyPr rot="0" vert="horz" wrap="square" lIns="91440" tIns="45720" rIns="91440" bIns="45720" anchor="t" anchorCtr="0" upright="1">
                          <a:noAutofit/>
                        </wps:bodyPr>
                      </wps:wsp>
                      <wps:wsp>
                        <wps:cNvPr id="25" name="Text Box 25"/>
                        <wps:cNvSpPr txBox="1">
                          <a:spLocks noChangeArrowheads="1"/>
                        </wps:cNvSpPr>
                        <wps:spPr bwMode="auto">
                          <a:xfrm>
                            <a:off x="1155700" y="7152005"/>
                            <a:ext cx="1243330" cy="8274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8671C0D" w14:textId="77777777" w:rsidR="007D5E56"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五</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-3、</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-1、</w:t>
                              </w:r>
                              <w:r>
                                <w:rPr>
                                  <w:rFonts w:ascii="隶书" w:eastAsia="隶书"/>
                                  <w:sz w:val="18"/>
                                  <w:szCs w:val="18"/>
                                  <w:lang w:val="en"/>
                                </w:rPr>
                                <w:t>（</w:t>
                              </w:r>
                              <w:r>
                                <w:rPr>
                                  <w:rFonts w:ascii="隶书" w:eastAsia="隶书" w:hint="eastAsia"/>
                                  <w:sz w:val="18"/>
                                  <w:szCs w:val="18"/>
                                </w:rPr>
                                <w:t>九</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十一</w:t>
                              </w:r>
                              <w:r>
                                <w:rPr>
                                  <w:rFonts w:ascii="隶书" w:eastAsia="隶书"/>
                                  <w:sz w:val="18"/>
                                  <w:szCs w:val="18"/>
                                  <w:lang w:val="en"/>
                                </w:rPr>
                                <w:t>）</w:t>
                              </w:r>
                            </w:p>
                          </w:txbxContent>
                        </wps:txbx>
                        <wps:bodyPr rot="0" vert="horz" wrap="square" lIns="91440" tIns="45720" rIns="91440" bIns="45720" anchor="t" anchorCtr="0" upright="1">
                          <a:noAutofit/>
                        </wps:bodyPr>
                      </wps:wsp>
                      <wps:wsp>
                        <wps:cNvPr id="26" name="Text Box 26"/>
                        <wps:cNvSpPr txBox="1">
                          <a:spLocks noChangeArrowheads="1"/>
                        </wps:cNvSpPr>
                        <wps:spPr bwMode="auto">
                          <a:xfrm>
                            <a:off x="4323715" y="4845050"/>
                            <a:ext cx="697230" cy="2343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7FC896" w14:textId="77777777" w:rsidR="007D5E56"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三</w:t>
                              </w:r>
                              <w:r>
                                <w:rPr>
                                  <w:rFonts w:ascii="隶书" w:eastAsia="隶书"/>
                                  <w:sz w:val="18"/>
                                  <w:szCs w:val="18"/>
                                  <w:lang w:val="en"/>
                                </w:rPr>
                                <w:t>）</w:t>
                              </w:r>
                            </w:p>
                          </w:txbxContent>
                        </wps:txbx>
                        <wps:bodyPr rot="0" vert="horz" wrap="square" lIns="91440" tIns="45720" rIns="91440" bIns="45720" anchor="t" anchorCtr="0" upright="1">
                          <a:noAutofit/>
                        </wps:bodyPr>
                      </wps:wsp>
                      <wps:wsp>
                        <wps:cNvPr id="27" name="AutoShape 27"/>
                        <wps:cNvSpPr>
                          <a:spLocks noChangeArrowheads="1"/>
                        </wps:cNvSpPr>
                        <wps:spPr bwMode="auto">
                          <a:xfrm>
                            <a:off x="2343785" y="116205"/>
                            <a:ext cx="1376045" cy="535305"/>
                          </a:xfrm>
                          <a:prstGeom prst="roundRect">
                            <a:avLst>
                              <a:gd name="adj" fmla="val 16667"/>
                            </a:avLst>
                          </a:prstGeom>
                          <a:solidFill>
                            <a:srgbClr val="FFFFFF"/>
                          </a:solidFill>
                          <a:ln w="9525" cmpd="sng">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1F7E5C9" w14:textId="77777777" w:rsidR="007D5E56" w:rsidRDefault="00E513F6">
                              <w:pPr>
                                <w:rPr>
                                  <w:rFonts w:ascii="隶书" w:eastAsia="隶书"/>
                                  <w:sz w:val="18"/>
                                  <w:szCs w:val="18"/>
                                </w:rPr>
                              </w:pPr>
                              <w:r>
                                <w:rPr>
                                  <w:rFonts w:ascii="隶书" w:eastAsia="隶书" w:hint="eastAsia"/>
                                  <w:sz w:val="18"/>
                                  <w:szCs w:val="18"/>
                                </w:rPr>
                                <w:t>利用以下方式验证风险控制措施的有效性</w:t>
                              </w:r>
                            </w:p>
                          </w:txbxContent>
                        </wps:txbx>
                        <wps:bodyPr rot="0" vert="horz" wrap="square" lIns="91440" tIns="45720" rIns="91440" bIns="45720" anchor="t" anchorCtr="0" upright="1">
                          <a:noAutofit/>
                        </wps:bodyPr>
                      </wps:wsp>
                      <wps:wsp>
                        <wps:cNvPr id="28" name="AutoShape 28"/>
                        <wps:cNvCnPr>
                          <a:cxnSpLocks noChangeShapeType="1"/>
                        </wps:cNvCnPr>
                        <wps:spPr bwMode="auto">
                          <a:xfrm flipH="1">
                            <a:off x="3030220" y="651510"/>
                            <a:ext cx="1905" cy="410210"/>
                          </a:xfrm>
                          <a:prstGeom prst="straightConnector1">
                            <a:avLst/>
                          </a:prstGeom>
                          <a:noFill/>
                          <a:ln w="9525" cmpd="sng">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 name="AutoShape 167"/>
                        <wps:cNvSpPr>
                          <a:spLocks noChangeArrowheads="1"/>
                        </wps:cNvSpPr>
                        <wps:spPr bwMode="auto">
                          <a:xfrm>
                            <a:off x="103505" y="129540"/>
                            <a:ext cx="1409065" cy="495300"/>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63963FC" w14:textId="77777777" w:rsidR="007D5E56" w:rsidRDefault="00E513F6">
                              <w:pPr>
                                <w:jc w:val="center"/>
                                <w:rPr>
                                  <w:rFonts w:ascii="隶书" w:eastAsia="隶书"/>
                                  <w:sz w:val="18"/>
                                  <w:szCs w:val="18"/>
                                </w:rPr>
                              </w:pPr>
                              <w:r>
                                <w:rPr>
                                  <w:rFonts w:ascii="隶书" w:eastAsia="隶书" w:hint="eastAsia"/>
                                  <w:sz w:val="18"/>
                                  <w:szCs w:val="18"/>
                                </w:rPr>
                                <w:t>开始</w:t>
                              </w:r>
                            </w:p>
                            <w:p w14:paraId="12BDC1A5" w14:textId="77777777" w:rsidR="007D5E56" w:rsidRDefault="00E513F6">
                              <w:pPr>
                                <w:rPr>
                                  <w:szCs w:val="18"/>
                                </w:rPr>
                              </w:pPr>
                              <w:r>
                                <w:rPr>
                                  <w:rFonts w:ascii="隶书" w:eastAsia="隶书" w:hint="eastAsia"/>
                                  <w:sz w:val="18"/>
                                  <w:szCs w:val="18"/>
                                </w:rPr>
                                <w:t>（实施风险控制措施后）</w:t>
                              </w:r>
                            </w:p>
                          </w:txbxContent>
                        </wps:txbx>
                        <wps:bodyPr rot="0" vert="horz" wrap="square" lIns="91440" tIns="45720" rIns="91440" bIns="45720" anchor="ctr" anchorCtr="0" upright="1">
                          <a:noAutofit/>
                        </wps:bodyPr>
                      </wps:wsp>
                      <wps:wsp>
                        <wps:cNvPr id="30" name="AutoShape 155"/>
                        <wps:cNvSpPr>
                          <a:spLocks noChangeArrowheads="1"/>
                        </wps:cNvSpPr>
                        <wps:spPr bwMode="auto">
                          <a:xfrm>
                            <a:off x="1997710" y="2543810"/>
                            <a:ext cx="2052320" cy="1523365"/>
                          </a:xfrm>
                          <a:prstGeom prst="flowChartDecision">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63CDB6F" w14:textId="77777777" w:rsidR="007D5E56" w:rsidRDefault="00E513F6">
                              <w:pPr>
                                <w:rPr>
                                  <w:rFonts w:ascii="隶书" w:eastAsia="隶书"/>
                                  <w:sz w:val="18"/>
                                  <w:szCs w:val="18"/>
                                </w:rPr>
                              </w:pPr>
                              <w:r>
                                <w:rPr>
                                  <w:rFonts w:ascii="隶书" w:eastAsia="隶书" w:hint="eastAsia"/>
                                  <w:sz w:val="18"/>
                                  <w:szCs w:val="18"/>
                                </w:rPr>
                                <w:t>是否充分验证了产品风险控制措施的有效性？</w:t>
                              </w:r>
                            </w:p>
                            <w:p w14:paraId="77BB1DE4" w14:textId="77777777" w:rsidR="007D5E56" w:rsidRDefault="007D5E56"/>
                          </w:txbxContent>
                        </wps:txbx>
                        <wps:bodyPr rot="0" vert="horz" wrap="square" lIns="91440" tIns="45720" rIns="91440" bIns="45720" anchor="t" anchorCtr="0" upright="1">
                          <a:noAutofit/>
                        </wps:bodyPr>
                      </wps:wsp>
                      <wps:wsp>
                        <wps:cNvPr id="31" name="AutoShape 153"/>
                        <wps:cNvSpPr>
                          <a:spLocks noChangeArrowheads="1"/>
                        </wps:cNvSpPr>
                        <wps:spPr bwMode="auto">
                          <a:xfrm>
                            <a:off x="1991360" y="4389755"/>
                            <a:ext cx="2052320" cy="1499235"/>
                          </a:xfrm>
                          <a:prstGeom prst="flowChartDecision">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607BB84" w14:textId="77777777" w:rsidR="007D5E56" w:rsidRDefault="00E513F6">
                              <w:pPr>
                                <w:rPr>
                                  <w:rFonts w:ascii="隶书" w:eastAsia="隶书"/>
                                  <w:sz w:val="18"/>
                                  <w:szCs w:val="18"/>
                                </w:rPr>
                              </w:pPr>
                              <w:r>
                                <w:rPr>
                                  <w:rFonts w:ascii="隶书" w:eastAsia="隶书" w:hint="eastAsia"/>
                                  <w:sz w:val="18"/>
                                  <w:szCs w:val="18"/>
                                </w:rPr>
                                <w:t>缺乏的验证/确认资料是否可通过动物试验获得？</w:t>
                              </w:r>
                            </w:p>
                            <w:p w14:paraId="31B1961D" w14:textId="77777777" w:rsidR="007D5E56" w:rsidRDefault="007D5E56"/>
                          </w:txbxContent>
                        </wps:txbx>
                        <wps:bodyPr rot="0" vert="horz" wrap="square" lIns="91440" tIns="45720" rIns="91440" bIns="45720" anchor="t" anchorCtr="0" upright="1">
                          <a:noAutofit/>
                        </wps:bodyPr>
                      </wps:wsp>
                      <wps:wsp>
                        <wps:cNvPr id="32" name="AutoShape 154"/>
                        <wps:cNvSpPr>
                          <a:spLocks noChangeArrowheads="1"/>
                        </wps:cNvSpPr>
                        <wps:spPr bwMode="auto">
                          <a:xfrm>
                            <a:off x="1965325" y="6282055"/>
                            <a:ext cx="2087245" cy="1489075"/>
                          </a:xfrm>
                          <a:prstGeom prst="flowChartDecision">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6217980" w14:textId="77777777" w:rsidR="007D5E56" w:rsidRDefault="00E513F6">
                              <w:pPr>
                                <w:rPr>
                                  <w:rFonts w:ascii="隶书" w:eastAsia="隶书"/>
                                  <w:sz w:val="18"/>
                                  <w:szCs w:val="18"/>
                                </w:rPr>
                              </w:pPr>
                              <w:r>
                                <w:rPr>
                                  <w:rFonts w:ascii="隶书" w:eastAsia="隶书" w:hint="eastAsia"/>
                                  <w:sz w:val="18"/>
                                  <w:szCs w:val="18"/>
                                </w:rPr>
                                <w:t>已有信息，如同类产品动物试验数据是否适用且充分？</w:t>
                              </w:r>
                            </w:p>
                          </w:txbxContent>
                        </wps:txbx>
                        <wps:bodyPr rot="0" vert="horz" wrap="square" lIns="91440" tIns="45720" rIns="91440" bIns="45720" anchor="t" anchorCtr="0" upright="1">
                          <a:noAutofit/>
                        </wps:bodyPr>
                      </wps:wsp>
                      <wps:wsp>
                        <wps:cNvPr id="33" name="AutoShape 33"/>
                        <wps:cNvCnPr>
                          <a:cxnSpLocks noChangeShapeType="1"/>
                        </wps:cNvCnPr>
                        <wps:spPr bwMode="auto">
                          <a:xfrm>
                            <a:off x="1512570" y="377190"/>
                            <a:ext cx="831215" cy="6985"/>
                          </a:xfrm>
                          <a:prstGeom prst="straightConnector1">
                            <a:avLst/>
                          </a:prstGeom>
                          <a:noFill/>
                          <a:ln w="9525" cmpd="sng">
                            <a:solidFill>
                              <a:srgbClr val="000000"/>
                            </a:solidFill>
                            <a:round/>
                            <a:headEnd/>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 name="AutoShape 34"/>
                        <wps:cNvCnPr>
                          <a:cxnSpLocks noChangeShapeType="1"/>
                        </wps:cNvCnPr>
                        <wps:spPr bwMode="auto">
                          <a:xfrm rot="5400000" flipV="1">
                            <a:off x="3076531" y="-1003300"/>
                            <a:ext cx="45720" cy="4137025"/>
                          </a:xfrm>
                          <a:prstGeom prst="bentConnector3">
                            <a:avLst>
                              <a:gd name="adj1" fmla="val -500000"/>
                            </a:avLst>
                          </a:prstGeom>
                          <a:noFill/>
                          <a:ln w="9525" cmpd="sng">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AutoShape 35"/>
                        <wps:cNvCnPr>
                          <a:cxnSpLocks noChangeShapeType="1"/>
                        </wps:cNvCnPr>
                        <wps:spPr bwMode="auto">
                          <a:xfrm rot="16200000" flipH="1">
                            <a:off x="3080976" y="-125139"/>
                            <a:ext cx="36195" cy="4137025"/>
                          </a:xfrm>
                          <a:prstGeom prst="bentConnector3">
                            <a:avLst>
                              <a:gd name="adj1" fmla="val 729824"/>
                            </a:avLst>
                          </a:prstGeom>
                          <a:noFill/>
                          <a:ln w="9525" cmpd="sng">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 name="Rectangle 115"/>
                        <wps:cNvSpPr>
                          <a:spLocks noChangeArrowheads="1"/>
                        </wps:cNvSpPr>
                        <wps:spPr bwMode="auto">
                          <a:xfrm>
                            <a:off x="298450" y="6767830"/>
                            <a:ext cx="908050" cy="501015"/>
                          </a:xfrm>
                          <a:prstGeom prst="rect">
                            <a:avLst/>
                          </a:prstGeom>
                          <a:solidFill>
                            <a:srgbClr val="FFFFFF"/>
                          </a:solidFill>
                          <a:ln w="63500" cmpd="thickThin">
                            <a:solidFill>
                              <a:srgbClr val="F7964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108ECA2" w14:textId="77777777" w:rsidR="007D5E56" w:rsidRDefault="00E513F6">
                              <w:pPr>
                                <w:jc w:val="center"/>
                                <w:rPr>
                                  <w:rFonts w:ascii="隶书" w:eastAsia="隶书"/>
                                  <w:sz w:val="18"/>
                                  <w:szCs w:val="18"/>
                                </w:rPr>
                              </w:pPr>
                              <w:r>
                                <w:rPr>
                                  <w:rFonts w:ascii="隶书" w:eastAsia="隶书" w:hint="eastAsia"/>
                                  <w:sz w:val="18"/>
                                  <w:szCs w:val="18"/>
                                </w:rPr>
                                <w:t>开展</w:t>
                              </w:r>
                            </w:p>
                            <w:p w14:paraId="4E6AA34C" w14:textId="77777777" w:rsidR="007D5E56" w:rsidRDefault="00E513F6">
                              <w:pPr>
                                <w:jc w:val="center"/>
                                <w:rPr>
                                  <w:rFonts w:ascii="隶书" w:eastAsia="隶书"/>
                                  <w:sz w:val="18"/>
                                  <w:szCs w:val="18"/>
                                </w:rPr>
                              </w:pPr>
                              <w:r>
                                <w:rPr>
                                  <w:rFonts w:ascii="隶书" w:eastAsia="隶书" w:hint="eastAsia"/>
                                  <w:sz w:val="18"/>
                                  <w:szCs w:val="18"/>
                                </w:rPr>
                                <w:t>动物试验</w:t>
                              </w:r>
                            </w:p>
                          </w:txbxContent>
                        </wps:txbx>
                        <wps:bodyPr rot="0" vert="horz" wrap="square" lIns="91440" tIns="45720" rIns="91440" bIns="45720" anchor="t" anchorCtr="0" upright="1">
                          <a:noAutofit/>
                        </wps:bodyPr>
                      </wps:wsp>
                      <wps:wsp>
                        <wps:cNvPr id="37" name="Rectangle 118"/>
                        <wps:cNvSpPr>
                          <a:spLocks noChangeArrowheads="1"/>
                        </wps:cNvSpPr>
                        <wps:spPr bwMode="auto">
                          <a:xfrm>
                            <a:off x="4841240" y="6767830"/>
                            <a:ext cx="1040130" cy="541020"/>
                          </a:xfrm>
                          <a:prstGeom prst="rect">
                            <a:avLst/>
                          </a:prstGeom>
                          <a:solidFill>
                            <a:srgbClr val="FFFFFF"/>
                          </a:solidFill>
                          <a:ln w="63500" cmpd="thickThin">
                            <a:solidFill>
                              <a:srgbClr val="4BACC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308B40F" w14:textId="77777777" w:rsidR="007D5E56" w:rsidRDefault="00E513F6">
                              <w:pPr>
                                <w:jc w:val="center"/>
                                <w:rPr>
                                  <w:rFonts w:ascii="隶书" w:eastAsia="隶书"/>
                                  <w:sz w:val="18"/>
                                  <w:szCs w:val="18"/>
                                </w:rPr>
                              </w:pPr>
                              <w:r>
                                <w:rPr>
                                  <w:rFonts w:ascii="隶书" w:eastAsia="隶书" w:hint="eastAsia"/>
                                  <w:sz w:val="18"/>
                                  <w:szCs w:val="18"/>
                                </w:rPr>
                                <w:t>不开展</w:t>
                              </w:r>
                            </w:p>
                            <w:p w14:paraId="2FF0A3F4" w14:textId="77777777" w:rsidR="007D5E56" w:rsidRDefault="00E513F6">
                              <w:pPr>
                                <w:jc w:val="center"/>
                                <w:rPr>
                                  <w:rFonts w:ascii="隶书" w:eastAsia="隶书"/>
                                  <w:sz w:val="18"/>
                                  <w:szCs w:val="18"/>
                                </w:rPr>
                              </w:pPr>
                              <w:r>
                                <w:rPr>
                                  <w:rFonts w:ascii="隶书" w:eastAsia="隶书" w:hint="eastAsia"/>
                                  <w:sz w:val="18"/>
                                  <w:szCs w:val="18"/>
                                </w:rPr>
                                <w:t>动物试验</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画布 2" o:spid="_x0000_s1026" editas="canvas" style="position:absolute;left:0;text-align:left;margin-left:-21.05pt;margin-top:7pt;width:483.5pt;height:638.65pt;z-index:251659264" coordsize="61404,81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404;height:81108;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9632;top:58127;width:21197;height:50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000000"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五</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-3</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九</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十一</w:t>
                        </w:r>
                        <w:r>
                          <w:rPr>
                            <w:rFonts w:ascii="隶书" w:eastAsia="隶书"/>
                            <w:sz w:val="18"/>
                            <w:szCs w:val="18"/>
                            <w:lang w:val="en"/>
                          </w:rPr>
                          <w:t>）</w:t>
                        </w:r>
                      </w:p>
                    </w:txbxContent>
                  </v:textbox>
                </v:shape>
                <v:shapetype id="_x0000_t32" coordsize="21600,21600" o:spt="32" o:oned="t" path="m,l21600,21600e" filled="f">
                  <v:path arrowok="t" fillok="f" o:connecttype="none"/>
                  <o:lock v:ext="edit" shapetype="t"/>
                </v:shapetype>
                <v:shape id="AutoShape 121" o:spid="_x0000_s1029" type="#_x0000_t32" style="position:absolute;left:12382;top:70186;width:7271;height:8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b77cMAAADaAAAADwAAAGRycy9kb3ducmV2LnhtbESPQWvCQBSE74X+h+UJ3upGobakriKl&#10;hYIiNPbS2yP7kg1m34bdNYn/3hUEj8PMfMOsNqNtRU8+NI4VzGcZCOLS6YZrBX/H75d3ECEia2wd&#10;k4ILBdisn59WmGs38C/1RaxFgnDIUYGJsculDKUhi2HmOuLkVc5bjEn6WmqPQ4LbVi6ybCktNpwW&#10;DHb0aag8FWerYCgq3pty63eHy+K/P513b1+VV2o6GbcfICKN8RG+t3+0gle4XUk3QK6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RG++3DAAAA2gAAAA8AAAAAAAAAAAAA&#10;AAAAoQIAAGRycy9kb3ducmV2LnhtbFBLBQYAAAAABAAEAPkAAACRAwAAAAA=&#10;">
                  <v:fill o:detectmouseclick="t"/>
                  <v:stroke endarrow="block" endarrowwidth="narrow" endarrowlength="long"/>
                </v:shape>
                <v:shape id="AutoShape 122" o:spid="_x0000_s1030" type="#_x0000_t32" style="position:absolute;left:30175;top:40671;width:63;height:322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pK0sQAAADaAAAADwAAAGRycy9kb3ducmV2LnhtbESPQWvCQBSE7wX/w/KEXopuWqhIdA1a&#10;GkgOHhq9eHtkn0lI9m3Ibk38925B6HGYmW+YbTKZTtxocI1lBe/LCARxaXXDlYLzKV2sQTiPrLGz&#10;TAru5CDZzV62GGs78g/dCl+JAGEXo4La+z6W0pU1GXRL2xMH72oHgz7IoZJ6wDHATSc/omglDTYc&#10;Fmrs6aumsi1+jYJDYfILplN2HN+yc9R+fxZ6nyv1Op/2GxCeJv8ffrYzrWAFf1fCDZC7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ekrSxAAAANoAAAAPAAAAAAAAAAAA&#10;AAAAAKECAABkcnMvZG93bnJldi54bWxQSwUGAAAAAAQABAD5AAAAkgMAAAAA&#10;">
                  <v:fill o:detectmouseclick="t"/>
                  <v:stroke endarrow="block" endarrowwidth="narrow" endarrowlength="long"/>
                </v:shape>
                <v:rect id="Rectangle 126" o:spid="_x0000_s1031" style="position:absolute;left:14865;top:67881;width:2286;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wXnMIA&#10;AADaAAAADwAAAGRycy9kb3ducmV2LnhtbESPQYvCMBSE7wv+h/AEb5qqoGs1iqgFPexhq+L10Tzb&#10;YvNSmqj13xthYY/DzHzDLFatqcSDGldaVjAcRCCIM6tLzhWcjkn/G4TzyBory6TgRQ5Wy87XAmNt&#10;n/xLj9TnIkDYxaig8L6OpXRZQQbdwNbEwbvaxqAPssmlbvAZ4KaSoyiaSIMlh4UCa9oUlN3Su1GQ&#10;Jmf9M7v48cW2Sb47bLfXXX1Uqtdt13MQnlr/H/5r77WCKXyuhBsgl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bBecwgAAANoAAAAPAAAAAAAAAAAAAAAAAJgCAABkcnMvZG93&#10;bnJldi54bWxQSwUGAAAAAAQABAD1AAAAhwMAAAAA&#10;" stroked="f">
                  <v:fill opacity="0"/>
                  <v:textbox>
                    <w:txbxContent>
                      <w:p w:rsidR="00000000" w:rsidRDefault="00E513F6">
                        <w:pPr>
                          <w:rPr>
                            <w:rFonts w:ascii="隶书" w:eastAsia="隶书"/>
                            <w:sz w:val="18"/>
                            <w:szCs w:val="18"/>
                          </w:rPr>
                        </w:pPr>
                        <w:r>
                          <w:rPr>
                            <w:rFonts w:ascii="隶书" w:eastAsia="隶书" w:hint="eastAsia"/>
                            <w:sz w:val="18"/>
                            <w:szCs w:val="18"/>
                          </w:rPr>
                          <w:t>否</w:t>
                        </w:r>
                      </w:p>
                    </w:txbxContent>
                  </v:textbox>
                </v:rect>
                <v:shape id="AutoShape 160" o:spid="_x0000_s1032" type="#_x0000_t32" style="position:absolute;left:30092;top:58889;width:83;height:393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l7O78AAADaAAAADwAAAGRycy9kb3ducmV2LnhtbERPTYvCMBC9C/6HMIIX0XQFRaqx1GWF&#10;evBg9eJtaMa22ExKk7Xdf785CB4f73uXDKYRL+pcbVnB1yICQVxYXXOp4HY9zjcgnEfW2FgmBX/k&#10;INmPRzuMte35Qq/clyKEsItRQeV9G0vpiooMuoVtiQP3sJ1BH2BXSt1hH8JNI5dRtJYGaw4NFbb0&#10;XVHxzH+NgkNuTnc8Dtm5n2W36PmzynV6Umo6GdItCE+D/4jf7kwrCFvDlXAD5P4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6l7O78AAADaAAAADwAAAAAAAAAAAAAAAACh&#10;AgAAZHJzL2Rvd25yZXYueG1sUEsFBgAAAAAEAAQA+QAAAI0DAAAAAA==&#10;">
                  <v:fill o:detectmouseclick="t"/>
                  <v:stroke endarrow="block" endarrowwidth="narrow" endarrowlength="long"/>
                </v:shape>
                <v:oval id="Oval 9" o:spid="_x0000_s1033" style="position:absolute;left:38709;top:12947;width:5652;height:57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dhhcQA&#10;AADaAAAADwAAAGRycy9kb3ducmV2LnhtbESP3YrCMBSE7wXfIRzBG9FUL0SrUUSo7sIK/j3AsTnb&#10;1m1OSpPV7j69EQQvh5n5hpkvG1OKG9WusKxgOIhAEKdWF5wpOJ+S/gSE88gaS8uk4I8cLBft1hxj&#10;be98oNvRZyJA2MWoIPe+iqV0aU4G3cBWxMH7trVBH2SdSV3jPcBNKUdRNJYGCw4LOVa0zin9Of4a&#10;Bdf9aXu9THefKW2/ekn0P056G1Sq22lWMxCeGv8Ov9ofWsEUnlfCD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XYYXEAAAA2gAAAA8AAAAAAAAAAAAAAAAAmAIAAGRycy9k&#10;b3ducmV2LnhtbFBLBQYAAAAABAAEAPUAAACJAwAAAAA=&#10;" strokecolor="white">
                  <v:textbox>
                    <w:txbxContent>
                      <w:p w:rsidR="00000000" w:rsidRDefault="00E513F6">
                        <w:pPr>
                          <w:rPr>
                            <w:rFonts w:ascii="隶书" w:eastAsia="隶书"/>
                            <w:sz w:val="18"/>
                            <w:szCs w:val="18"/>
                          </w:rPr>
                        </w:pPr>
                        <w:r>
                          <w:rPr>
                            <w:rFonts w:ascii="隶书" w:eastAsia="隶书" w:hint="eastAsia"/>
                            <w:sz w:val="18"/>
                            <w:szCs w:val="18"/>
                          </w:rPr>
                          <w:t>……</w:t>
                        </w:r>
                      </w:p>
                    </w:txbxContent>
                  </v:textbox>
                </v:oval>
                <v:oval id="Oval 10" o:spid="_x0000_s1034" style="position:absolute;left:21196;top:10617;width:18205;height:8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VMMA&#10;AADbAAAADwAAAGRycy9kb3ducmV2LnhtbESPQWvCQBCF74X+h2UKvdWNBkVSVxGlYA89NNr7kB2T&#10;YHY2ZKcx/fedQ6G3Gd6b977Z7KbQmZGG1EZ2MJ9lYIir6FuuHVzOby9rMEmQPXaRycEPJdhtHx82&#10;WPh4508aS6mNhnAq0EEj0hfWpqqhgGkWe2LVrnEIKLoOtfUD3jU8dHaRZSsbsGVtaLCnQ0PVrfwO&#10;Do71vlyNNpdlfj2eZHn7+njP5849P037VzBCk/yb/65PXvGVXn/RAez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sVMMAAADbAAAADwAAAAAAAAAAAAAAAACYAgAAZHJzL2Rv&#10;d25yZXYueG1sUEsFBgAAAAAEAAQA9QAAAIgDAAAAAA==&#10;">
                  <v:textbox>
                    <w:txbxContent>
                      <w:p w:rsidR="00000000" w:rsidRDefault="00E513F6">
                        <w:pPr>
                          <w:rPr>
                            <w:rFonts w:ascii="隶书" w:eastAsia="隶书"/>
                            <w:sz w:val="18"/>
                            <w:szCs w:val="18"/>
                          </w:rPr>
                        </w:pPr>
                        <w:r>
                          <w:rPr>
                            <w:rFonts w:ascii="隶书" w:eastAsia="隶书" w:hint="eastAsia"/>
                            <w:sz w:val="18"/>
                            <w:szCs w:val="18"/>
                          </w:rPr>
                          <w:t>已有信息，如与市售同类产品的性能对比研究</w:t>
                        </w:r>
                      </w:p>
                      <w:p w:rsidR="00000000" w:rsidRDefault="00E513F6">
                        <w:pPr>
                          <w:jc w:val="center"/>
                          <w:rPr>
                            <w:rFonts w:ascii="隶书" w:eastAsia="隶书" w:hint="eastAsia"/>
                            <w:sz w:val="18"/>
                            <w:szCs w:val="18"/>
                          </w:rPr>
                        </w:pPr>
                        <w:r>
                          <w:rPr>
                            <w:rFonts w:ascii="隶书" w:eastAsia="隶书" w:hint="eastAsia"/>
                            <w:sz w:val="18"/>
                            <w:szCs w:val="18"/>
                          </w:rPr>
                          <w:t>（</w:t>
                        </w:r>
                        <w:r>
                          <w:rPr>
                            <w:rFonts w:ascii="隶书" w:eastAsia="隶书" w:hint="eastAsia"/>
                            <w:sz w:val="18"/>
                            <w:szCs w:val="18"/>
                          </w:rPr>
                          <w:t>B</w:t>
                        </w:r>
                        <w:r>
                          <w:rPr>
                            <w:rFonts w:ascii="隶书" w:eastAsia="隶书" w:hint="eastAsia"/>
                            <w:sz w:val="18"/>
                            <w:szCs w:val="18"/>
                          </w:rPr>
                          <w:t>）</w:t>
                        </w:r>
                      </w:p>
                    </w:txbxContent>
                  </v:textbox>
                </v:oval>
                <v:rect id="Rectangle 126" o:spid="_x0000_s1035" style="position:absolute;left:42125;top:67938;width:2286;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oScIA&#10;AADbAAAADwAAAGRycy9kb3ducmV2LnhtbERPTWvCQBC9F/wPywjemo0VpE1dRaoBPXho0uJ1yI5J&#10;MDsbsmuS/vuuIHibx/uc1WY0jeipc7VlBfMoBkFcWF1zqeAnT1/fQTiPrLGxTAr+yMFmPXlZYaLt&#10;wN/UZ74UIYRdggoq79tESldUZNBFtiUO3MV2Bn2AXSl1h0MIN418i+OlNFhzaKiwpa+Kimt2Mwqy&#10;9FefPs5+cbZjWu6Pu91l3+ZKzabj9hOEp9E/xQ/3QYf5c7j/Eg6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j+hJwgAAANsAAAAPAAAAAAAAAAAAAAAAAJgCAABkcnMvZG93&#10;bnJldi54bWxQSwUGAAAAAAQABAD1AAAAhwMAAAAA&#10;" stroked="f">
                  <v:fill opacity="0"/>
                  <v:textbox>
                    <w:txbxContent>
                      <w:p w:rsidR="00000000" w:rsidRDefault="00E513F6">
                        <w:pPr>
                          <w:rPr>
                            <w:rFonts w:ascii="隶书" w:eastAsia="隶书"/>
                            <w:sz w:val="18"/>
                            <w:szCs w:val="18"/>
                          </w:rPr>
                        </w:pPr>
                        <w:r>
                          <w:rPr>
                            <w:rFonts w:ascii="隶书" w:eastAsia="隶书" w:hint="eastAsia"/>
                            <w:sz w:val="18"/>
                            <w:szCs w:val="18"/>
                          </w:rPr>
                          <w:t>是</w:t>
                        </w:r>
                      </w:p>
                    </w:txbxContent>
                  </v:textbox>
                </v:rect>
                <v:shape id="AutoShape 144" o:spid="_x0000_s1036" type="#_x0000_t32" style="position:absolute;left:40525;top:70269;width:7569;height: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Lnz8MAAADbAAAADwAAAGRycy9kb3ducmV2LnhtbERPS2vCQBC+C/0PyxR6kWbjAympayiV&#10;QimCmvbS25CdJmmysyG7JvHfu4LgbT6+56zT0TSip85VlhXMohgEcW51xYWCn++P5xcQziNrbCyT&#10;gjM5SDcPkzUm2g58pD7zhQgh7BJUUHrfJlK6vCSDLrItceD+bGfQB9gVUnc4hHDTyHkcr6TBikND&#10;iS29l5TX2ckoqN1/ttzHX1te9PnJ7qaDXvwelHp6HN9eQXga/V18c3/qMH8O11/CAXJ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S58/DAAAA2wAAAA8AAAAAAAAAAAAA&#10;AAAAoQIAAGRycy9kb3ducmV2LnhtbFBLBQYAAAAABAAEAPkAAACRAwAAAAA=&#10;">
                  <v:fill o:detectmouseclick="t"/>
                  <v:stroke endarrow="block" endarrowwidth="narrow" endarrowlength="long"/>
                </v:shape>
                <v:oval id="Oval 13" o:spid="_x0000_s1037" style="position:absolute;left:43535;top:10883;width:16275;height:87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0yI8AA&#10;AADbAAAADwAAAGRycy9kb3ducmV2LnhtbERPTWvCQBC9C/0PyxS8mY0NiqSuIhVBDz006n3Ijkkw&#10;Oxuy05j++65Q6G0e73PW29G1aqA+NJ4NzJMUFHHpbcOVgcv5MFuBCoJssfVMBn4owHbzMlljbv2D&#10;v2gopFIxhEOOBmqRLtc6lDU5DInviCN3871DibCvtO3xEcNdq9/SdKkdNhwbauzoo6byXnw7A/tq&#10;VywHnckiu+2PsrhfP0/Z3Jjp67h7ByU0yr/4z320cX4Gz1/iAXrz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G0yI8AAAADbAAAADwAAAAAAAAAAAAAAAACYAgAAZHJzL2Rvd25y&#10;ZXYueG1sUEsFBgAAAAAEAAQA9QAAAIUDAAAAAA==&#10;">
                  <v:textbox>
                    <w:txbxContent>
                      <w:p w:rsidR="00000000" w:rsidRDefault="00E513F6">
                        <w:pPr>
                          <w:rPr>
                            <w:rFonts w:ascii="隶书" w:eastAsia="隶书"/>
                            <w:sz w:val="18"/>
                            <w:szCs w:val="18"/>
                          </w:rPr>
                        </w:pPr>
                        <w:r>
                          <w:rPr>
                            <w:rFonts w:ascii="隶书" w:eastAsia="隶书" w:hint="eastAsia"/>
                            <w:sz w:val="18"/>
                            <w:szCs w:val="18"/>
                          </w:rPr>
                          <w:t>替代性研究如非活体研究、计算机模拟</w:t>
                        </w:r>
                      </w:p>
                      <w:p w:rsidR="00000000" w:rsidRDefault="00E513F6">
                        <w:pPr>
                          <w:jc w:val="center"/>
                          <w:rPr>
                            <w:rFonts w:ascii="隶书" w:eastAsia="隶书" w:hint="eastAsia"/>
                            <w:sz w:val="18"/>
                            <w:szCs w:val="18"/>
                          </w:rPr>
                        </w:pPr>
                        <w:r>
                          <w:rPr>
                            <w:rFonts w:ascii="隶书" w:eastAsia="隶书" w:hint="eastAsia"/>
                            <w:sz w:val="18"/>
                            <w:szCs w:val="18"/>
                          </w:rPr>
                          <w:t>（</w:t>
                        </w:r>
                        <w:r>
                          <w:rPr>
                            <w:rFonts w:ascii="隶书" w:eastAsia="隶书" w:hint="eastAsia"/>
                            <w:sz w:val="18"/>
                            <w:szCs w:val="18"/>
                          </w:rPr>
                          <w:t>C</w:t>
                        </w:r>
                        <w:r>
                          <w:rPr>
                            <w:rFonts w:ascii="隶书" w:eastAsia="隶书" w:hint="eastAsia"/>
                            <w:sz w:val="18"/>
                            <w:szCs w:val="18"/>
                          </w:rPr>
                          <w:t>）</w:t>
                        </w:r>
                      </w:p>
                    </w:txbxContent>
                  </v:textbox>
                </v:oval>
                <v:oval id="Oval 14" o:spid="_x0000_s1038" style="position:absolute;left:1689;top:10426;width:17227;height:88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SqV8EA&#10;AADbAAAADwAAAGRycy9kb3ducmV2LnhtbERPTWvCQBC9F/wPywi91Y2mikRXEaWghx4a9T5kxySY&#10;nQ3ZaUz/vVso9DaP9znr7eAa1VMXas8GppMEFHHhbc2lgcv5420JKgiyxcYzGfihANvN6GWNmfUP&#10;/qI+l1LFEA4ZGqhE2kzrUFTkMEx8Sxy5m+8cSoRdqW2HjxjuGj1LkoV2WHNsqLClfUXFPf92Bg7l&#10;Ll/0OpV5ejscZX6/fp7SqTGv42G3AiU0yL/4z320cf47/P4SD9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EqlfBAAAA2wAAAA8AAAAAAAAAAAAAAAAAmAIAAGRycy9kb3du&#10;cmV2LnhtbFBLBQYAAAAABAAEAPUAAACGAwAAAAA=&#10;">
                  <v:textbox>
                    <w:txbxContent>
                      <w:p w:rsidR="00000000" w:rsidRDefault="00E513F6">
                        <w:pPr>
                          <w:rPr>
                            <w:rFonts w:ascii="隶书" w:eastAsia="隶书"/>
                            <w:sz w:val="18"/>
                            <w:szCs w:val="18"/>
                          </w:rPr>
                        </w:pPr>
                      </w:p>
                      <w:p w:rsidR="00000000" w:rsidRDefault="00E513F6">
                        <w:pPr>
                          <w:rPr>
                            <w:rFonts w:ascii="隶书" w:eastAsia="隶书" w:hint="eastAsia"/>
                            <w:sz w:val="18"/>
                            <w:szCs w:val="18"/>
                          </w:rPr>
                        </w:pPr>
                        <w:r>
                          <w:rPr>
                            <w:rFonts w:ascii="隶书" w:eastAsia="隶书" w:hint="eastAsia"/>
                            <w:sz w:val="18"/>
                            <w:szCs w:val="18"/>
                          </w:rPr>
                          <w:t>医疗器械实验室研究</w:t>
                        </w:r>
                      </w:p>
                      <w:p w:rsidR="00000000" w:rsidRDefault="00E513F6">
                        <w:pPr>
                          <w:jc w:val="center"/>
                          <w:rPr>
                            <w:rFonts w:ascii="隶书" w:eastAsia="隶书" w:hint="eastAsia"/>
                            <w:sz w:val="18"/>
                            <w:szCs w:val="18"/>
                          </w:rPr>
                        </w:pPr>
                        <w:r>
                          <w:rPr>
                            <w:rFonts w:ascii="隶书" w:eastAsia="隶书" w:hint="eastAsia"/>
                            <w:sz w:val="18"/>
                            <w:szCs w:val="18"/>
                          </w:rPr>
                          <w:t>（</w:t>
                        </w:r>
                        <w:r>
                          <w:rPr>
                            <w:rFonts w:ascii="隶书" w:eastAsia="隶书" w:hint="eastAsia"/>
                            <w:sz w:val="18"/>
                            <w:szCs w:val="18"/>
                          </w:rPr>
                          <w:t>A</w:t>
                        </w:r>
                        <w:r>
                          <w:rPr>
                            <w:rFonts w:ascii="隶书" w:eastAsia="隶书" w:hint="eastAsia"/>
                            <w:sz w:val="18"/>
                            <w:szCs w:val="18"/>
                          </w:rPr>
                          <w:t>）</w:t>
                        </w:r>
                      </w:p>
                    </w:txbxContent>
                  </v:textbox>
                </v:oval>
                <v:shapetype id="_x0000_t33" coordsize="21600,21600" o:spt="33" o:oned="t" path="m,l21600,r,21600e" filled="f">
                  <v:stroke joinstyle="miter"/>
                  <v:path arrowok="t" fillok="f" o:connecttype="none"/>
                  <o:lock v:ext="edit" shapetype="t"/>
                </v:shapetype>
                <v:shape id="AutoShape 15" o:spid="_x0000_s1039" type="#_x0000_t33" style="position:absolute;left:40436;top:51396;width:13177;height:15964;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KQ98EAAADbAAAADwAAAGRycy9kb3ducmV2LnhtbERPTWvCQBC9F/wPywje6saCVqKriFCV&#10;3kx78DhmxySanY27q4n99W6h0Ns83ufMl52pxZ2crywrGA0TEMS51RUXCr6/Pl6nIHxA1lhbJgUP&#10;8rBc9F7mmGrb8p7uWShEDGGfooIyhCaV0uclGfRD2xBH7mSdwRChK6R22MZwU8u3JJlIgxXHhhIb&#10;WpeUX7KbUbBdnVsnfw7v1+PoprHdTD6zKyo16HerGYhAXfgX/7l3Os4fw+8v8QC5e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MpD3wQAAANsAAAAPAAAAAAAAAAAAAAAA&#10;AKECAABkcnMvZG93bnJldi54bWxQSwUGAAAAAAQABAD5AAAAjwMAAAAA&#10;">
                  <v:fill o:detectmouseclick="t"/>
                  <v:stroke endarrow="block"/>
                </v:shape>
                <v:rect id="Rectangle 126" o:spid="_x0000_s1040" style="position:absolute;left:44996;top:51587;width:2286;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ZwPcIA&#10;AADbAAAADwAAAGRycy9kb3ducmV2LnhtbERPS2vCQBC+F/oflhG81Y0VQpu6EakJ2IOHxhavQ3by&#10;wOxsyG6T+O+7QqG3+fies93NphMjDa61rGC9ikAQl1a3XCv4OudPLyCcR9bYWSYFN3KwSx8ftpho&#10;O/EnjYWvRQhhl6CCxvs+kdKVDRl0K9sTB66yg0Ef4FBLPeAUwk0nn6MolgZbDg0N9vTeUHktfoyC&#10;Iv/Wp9eL31zsnNfZx+FQZf1ZqeVi3r+B8DT7f/Gf+6jD/Bjuv4QDZPo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ZnA9wgAAANsAAAAPAAAAAAAAAAAAAAAAAJgCAABkcnMvZG93&#10;bnJldi54bWxQSwUGAAAAAAQABAD1AAAAhwMAAAAA&#10;" stroked="f">
                  <v:fill opacity="0"/>
                  <v:textbox>
                    <w:txbxContent>
                      <w:p w:rsidR="00000000" w:rsidRDefault="00E513F6">
                        <w:pPr>
                          <w:rPr>
                            <w:rFonts w:ascii="隶书" w:eastAsia="隶书"/>
                            <w:sz w:val="18"/>
                            <w:szCs w:val="18"/>
                          </w:rPr>
                        </w:pPr>
                        <w:r>
                          <w:rPr>
                            <w:rFonts w:ascii="隶书" w:eastAsia="隶书" w:hint="eastAsia"/>
                            <w:sz w:val="18"/>
                            <w:szCs w:val="18"/>
                          </w:rPr>
                          <w:t>否</w:t>
                        </w:r>
                      </w:p>
                    </w:txbxContent>
                  </v:textbox>
                </v:rect>
                <v:shape id="AutoShape 17" o:spid="_x0000_s1041" type="#_x0000_t33" style="position:absolute;left:40500;top:33058;width:13113;height:34302;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yrG8IAAADbAAAADwAAAGRycy9kb3ducmV2LnhtbERPO2/CMBDekfofrKvUjTh0AJRioqhS&#10;H+pG6NDxGh9JaHwOtiEpvx4jIbHdp+95q3w0nTiR861lBbMkBUFcWd1yreB7+zZdgvABWWNnmRT8&#10;k4d8/TBZYabtwBs6laEWMYR9hgqaEPpMSl81ZNAntieO3M46gyFCV0vtcIjhppPPaTqXBluODQ32&#10;9NpQ9VcejYKPYj84ef5ZHH5nR43D+/yrPKBST49j8QIi0Bju4pv7U8f5C7j+Eg+Q6w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qyrG8IAAADbAAAADwAAAAAAAAAAAAAA&#10;AAChAgAAZHJzL2Rvd25yZXYueG1sUEsFBgAAAAAEAAQA+QAAAJADAAAAAA==&#10;">
                  <v:fill o:detectmouseclick="t"/>
                  <v:stroke endarrow="block"/>
                </v:shape>
                <v:rect id="Rectangle 126" o:spid="_x0000_s1042" style="position:absolute;left:45808;top:33058;width:2286;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VB1MQA&#10;AADbAAAADwAAAGRycy9kb3ducmV2LnhtbESPQWvCQBCF74L/YRmhN93Ygmh0FVED7aEHo+J1yI5J&#10;MDsbsltN/33nIPQ2w3vz3jerTe8a9aAu1J4NTCcJKOLC25pLA+dTNp6DChHZYuOZDPxSgM16OFhh&#10;av2Tj/TIY6kkhEOKBqoY21TrUFTkMEx8SyzazXcOo6xdqW2HTwl3jX5Pkpl2WLM0VNjSrqLinv84&#10;A3l2sd+La/y4+j4rD1/7/e3Qnox5G/XbJahIffw3v64/reALrPwiA+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1QdTEAAAA2wAAAA8AAAAAAAAAAAAAAAAAmAIAAGRycy9k&#10;b3ducmV2LnhtbFBLBQYAAAAABAAEAPUAAACJAwAAAAA=&#10;" stroked="f">
                  <v:fill opacity="0"/>
                  <v:textbox>
                    <w:txbxContent>
                      <w:p w:rsidR="00000000" w:rsidRDefault="00E513F6">
                        <w:pPr>
                          <w:rPr>
                            <w:rFonts w:ascii="隶书" w:eastAsia="隶书"/>
                            <w:sz w:val="18"/>
                            <w:szCs w:val="18"/>
                          </w:rPr>
                        </w:pPr>
                        <w:r>
                          <w:rPr>
                            <w:rFonts w:ascii="隶书" w:eastAsia="隶书" w:hint="eastAsia"/>
                            <w:sz w:val="18"/>
                            <w:szCs w:val="18"/>
                          </w:rPr>
                          <w:t>是</w:t>
                        </w:r>
                      </w:p>
                    </w:txbxContent>
                  </v:textbox>
                </v:rect>
                <v:rect id="Rectangle 126" o:spid="_x0000_s1043" style="position:absolute;left:30118;top:58724;width:2286;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kT8IA&#10;AADbAAAADwAAAGRycy9kb3ducmV2LnhtbERPTWvCQBC9C/0PyxS86UYLoqmriElADx6MLV6H7JiE&#10;ZmdDdpuk/74rFHqbx/uc7X40jeipc7VlBYt5BIK4sLrmUsHHLZutQTiPrLGxTAp+yMF+9zLZYqzt&#10;wFfqc1+KEMIuRgWV920spSsqMujmtiUO3MN2Bn2AXSl1h0MIN41cRtFKGqw5NFTY0rGi4iv/Ngry&#10;7FNfNnf/drdjVqbnJHmk7U2p6et4eAfhafT/4j/3SYf5G3j+Eg6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eRPwgAAANsAAAAPAAAAAAAAAAAAAAAAAJgCAABkcnMvZG93&#10;bnJldi54bWxQSwUGAAAAAAQABAD1AAAAhwMAAAAA&#10;" stroked="f">
                  <v:fill opacity="0"/>
                  <v:textbox>
                    <w:txbxContent>
                      <w:p w:rsidR="00000000" w:rsidRDefault="00E513F6">
                        <w:pPr>
                          <w:rPr>
                            <w:rFonts w:ascii="隶书" w:eastAsia="隶书"/>
                            <w:sz w:val="18"/>
                            <w:szCs w:val="18"/>
                          </w:rPr>
                        </w:pPr>
                        <w:r>
                          <w:rPr>
                            <w:rFonts w:ascii="隶书" w:eastAsia="隶书" w:hint="eastAsia"/>
                            <w:sz w:val="18"/>
                            <w:szCs w:val="18"/>
                          </w:rPr>
                          <w:t>是</w:t>
                        </w:r>
                      </w:p>
                    </w:txbxContent>
                  </v:textbox>
                </v:rect>
                <v:rect id="Rectangle 126" o:spid="_x0000_s1044" style="position:absolute;left:30302;top:40671;width:2286;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Hb8AA&#10;AADbAAAADwAAAGRycy9kb3ducmV2LnhtbERPy4rCMBTdC/5DuII7TVUYxtooohZ0MYupittLc/vA&#10;5qY0Uevfm8XALA/nnWx604gnda62rGA2jUAQ51bXXCq4nNPJNwjnkTU2lknBmxxs1sNBgrG2L/6l&#10;Z+ZLEULYxaig8r6NpXR5RQbd1LbEgStsZ9AH2JVSd/gK4aaR8yj6kgZrDg0VtrSrKL9nD6MgS6/6&#10;Z3nzi5vt0/Jw2u+LQ3tWajzqtysQnnr/L/5zH7WCeVgfvoQfIN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K+Hb8AAAADbAAAADwAAAAAAAAAAAAAAAACYAgAAZHJzL2Rvd25y&#10;ZXYueG1sUEsFBgAAAAAEAAQA9QAAAIUDAAAAAA==&#10;" stroked="f">
                  <v:fill opacity="0"/>
                  <v:textbox>
                    <w:txbxContent>
                      <w:p w:rsidR="00000000" w:rsidRDefault="00E513F6">
                        <w:pPr>
                          <w:rPr>
                            <w:rFonts w:ascii="隶书" w:eastAsia="隶书"/>
                            <w:sz w:val="18"/>
                            <w:szCs w:val="18"/>
                          </w:rPr>
                        </w:pPr>
                        <w:r>
                          <w:rPr>
                            <w:rFonts w:ascii="隶书" w:eastAsia="隶书" w:hint="eastAsia"/>
                            <w:sz w:val="18"/>
                            <w:szCs w:val="18"/>
                          </w:rPr>
                          <w:t>否</w:t>
                        </w:r>
                      </w:p>
                    </w:txbxContent>
                  </v:textbox>
                </v:rect>
                <v:shape id="AutoShape 21" o:spid="_x0000_s1045" type="#_x0000_t32" style="position:absolute;left:30238;top:19570;width:64;height:586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lB98QAAADbAAAADwAAAGRycy9kb3ducmV2LnhtbESPQYvCMBSE7wv+h/AEL4umCi5LNRaV&#10;FerBw3a9eHs0z7a0eSlN1tZ/bwTB4zAz3zDrZDCNuFHnKssK5rMIBHFudcWFgvPfYfoNwnlkjY1l&#10;UnAnB8lm9LHGWNuef+mW+UIECLsYFZTet7GULi/JoJvZljh4V9sZ9EF2hdQd9gFuGrmIoi9psOKw&#10;UGJL+5LyOvs3CnaZOV7wMKSn/jM9R/XPMtPbo1KT8bBdgfA0+Hf41U61gsUcnl/CD5Cb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UH3xAAAANsAAAAPAAAAAAAAAAAA&#10;AAAAAKECAABkcnMvZG93bnJldi54bWxQSwUGAAAAAAQABAD5AAAAkgMAAAAA&#10;">
                  <v:fill o:detectmouseclick="t"/>
                  <v:stroke endarrow="block" endarrowwidth="narrow" endarrowlength="long"/>
                </v:shape>
                <v:shape id="Text Box 22" o:spid="_x0000_s1046" type="#_x0000_t202" style="position:absolute;left:8763;top:39776;width:21380;height:50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000000"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三</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五</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-3</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九</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十一</w:t>
                        </w:r>
                        <w:r>
                          <w:rPr>
                            <w:rFonts w:ascii="隶书" w:eastAsia="隶书"/>
                            <w:sz w:val="18"/>
                            <w:szCs w:val="18"/>
                            <w:lang w:val="en"/>
                          </w:rPr>
                          <w:t>）</w:t>
                        </w:r>
                      </w:p>
                    </w:txbxContent>
                  </v:textbox>
                </v:shape>
                <v:shape id="Text Box 23" o:spid="_x0000_s1047" type="#_x0000_t202" style="position:absolute;left:39839;top:71266;width:8573;height:4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w:txbxContent>
                      <w:p w:rsidR="00000000" w:rsidRDefault="00E513F6">
                        <w:pPr>
                          <w:rPr>
                            <w:rFonts w:ascii="隶书" w:eastAsia="隶书"/>
                            <w:sz w:val="18"/>
                            <w:szCs w:val="18"/>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-2</w:t>
                        </w:r>
                      </w:p>
                    </w:txbxContent>
                  </v:textbox>
                </v:shape>
                <v:shape id="Text Box 24" o:spid="_x0000_s1048" type="#_x0000_t202" style="position:absolute;left:40055;top:28289;width:21349;height:4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000000" w:rsidRDefault="00E513F6">
                        <w:pPr>
                          <w:spacing w:line="200" w:lineRule="exact"/>
                          <w:rPr>
                            <w:rFonts w:ascii="隶书" w:eastAsia="隶书"/>
                            <w:sz w:val="18"/>
                            <w:szCs w:val="18"/>
                            <w:lang w:val="en"/>
                          </w:rPr>
                        </w:pPr>
                        <w:r>
                          <w:rPr>
                            <w:rFonts w:ascii="隶书" w:eastAsia="隶书" w:hint="eastAsia"/>
                            <w:sz w:val="18"/>
                            <w:szCs w:val="18"/>
                          </w:rPr>
                          <w:t>A</w:t>
                        </w: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二</w:t>
                        </w:r>
                        <w:r>
                          <w:rPr>
                            <w:rFonts w:ascii="隶书" w:eastAsia="隶书"/>
                            <w:sz w:val="18"/>
                            <w:szCs w:val="18"/>
                            <w:lang w:val="en"/>
                          </w:rPr>
                          <w:t>）</w:t>
                        </w:r>
                      </w:p>
                      <w:p w:rsidR="00000000" w:rsidRDefault="00E513F6">
                        <w:pPr>
                          <w:spacing w:line="200" w:lineRule="exact"/>
                          <w:rPr>
                            <w:rFonts w:ascii="隶书" w:eastAsia="隶书" w:hint="eastAsia"/>
                            <w:sz w:val="18"/>
                            <w:szCs w:val="18"/>
                          </w:rPr>
                        </w:pPr>
                        <w:r>
                          <w:rPr>
                            <w:rFonts w:ascii="隶书" w:eastAsia="隶书" w:hint="eastAsia"/>
                            <w:sz w:val="18"/>
                            <w:szCs w:val="18"/>
                          </w:rPr>
                          <w:t>B</w:t>
                        </w: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一</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-2</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-2</w:t>
                        </w:r>
                      </w:p>
                      <w:p w:rsidR="00000000" w:rsidRDefault="00E513F6">
                        <w:pPr>
                          <w:spacing w:line="200" w:lineRule="exact"/>
                          <w:rPr>
                            <w:rFonts w:hint="eastAsia"/>
                            <w:szCs w:val="18"/>
                          </w:rPr>
                        </w:pPr>
                        <w:r>
                          <w:rPr>
                            <w:rFonts w:ascii="隶书" w:eastAsia="隶书" w:hint="eastAsia"/>
                            <w:sz w:val="18"/>
                            <w:szCs w:val="18"/>
                          </w:rPr>
                          <w:t>C</w:t>
                        </w: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-2</w:t>
                        </w:r>
                      </w:p>
                    </w:txbxContent>
                  </v:textbox>
                </v:shape>
                <v:shape id="Text Box 25" o:spid="_x0000_s1049" type="#_x0000_t202" style="position:absolute;left:11557;top:71520;width:12433;height:8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83MIA&#10;AADbAAAADwAAAGRycy9kb3ducmV2LnhtbESPQYvCMBSE74L/ITzBmyaKyto1yrIieFJ0d4W9PZpn&#10;W2xeShNt/fdGEDwOM/MNs1i1thQ3qn3hWMNoqEAQp84UnGn4/dkMPkD4gGywdEwa7uRhtex2FpgY&#10;1/CBbseQiQhhn6CGPIQqkdKnOVn0Q1cRR+/saoshyjqTpsYmwm0px0rNpMWC40KOFX3nlF6OV6vh&#10;b3f+P03UPlvbadW4Vkm2c6l1v9d+fYII1IZ3+NXeGg3jK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7zcwgAAANsAAAAPAAAAAAAAAAAAAAAAAJgCAABkcnMvZG93&#10;bnJldi54bWxQSwUGAAAAAAQABAD1AAAAhwMAAAAA&#10;" filled="f" stroked="f">
                  <v:textbox>
                    <w:txbxContent>
                      <w:p w:rsidR="00000000"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四</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五</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六</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七</w:t>
                        </w:r>
                        <w:r>
                          <w:rPr>
                            <w:rFonts w:ascii="隶书" w:eastAsia="隶书"/>
                            <w:sz w:val="18"/>
                            <w:szCs w:val="18"/>
                            <w:lang w:val="en"/>
                          </w:rPr>
                          <w:t>）</w:t>
                        </w:r>
                        <w:r>
                          <w:rPr>
                            <w:rFonts w:ascii="隶书" w:eastAsia="隶书" w:hint="eastAsia"/>
                            <w:sz w:val="18"/>
                            <w:szCs w:val="18"/>
                          </w:rPr>
                          <w:t>-3</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八</w:t>
                        </w:r>
                        <w:r>
                          <w:rPr>
                            <w:rFonts w:ascii="隶书" w:eastAsia="隶书"/>
                            <w:sz w:val="18"/>
                            <w:szCs w:val="18"/>
                            <w:lang w:val="en"/>
                          </w:rPr>
                          <w:t>）</w:t>
                        </w:r>
                        <w:r>
                          <w:rPr>
                            <w:rFonts w:ascii="隶书" w:eastAsia="隶书" w:hint="eastAsia"/>
                            <w:sz w:val="18"/>
                            <w:szCs w:val="18"/>
                          </w:rPr>
                          <w:t>-1</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九</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w:t>
                        </w:r>
                        <w:r>
                          <w:rPr>
                            <w:rFonts w:ascii="隶书" w:eastAsia="隶书"/>
                            <w:sz w:val="18"/>
                            <w:szCs w:val="18"/>
                            <w:lang w:val="en"/>
                          </w:rPr>
                          <w:t>）</w:t>
                        </w:r>
                        <w:r>
                          <w:rPr>
                            <w:rFonts w:ascii="隶书" w:eastAsia="隶书" w:hint="eastAsia"/>
                            <w:sz w:val="18"/>
                            <w:szCs w:val="18"/>
                          </w:rPr>
                          <w:t>、</w:t>
                        </w:r>
                        <w:r>
                          <w:rPr>
                            <w:rFonts w:ascii="隶书" w:eastAsia="隶书"/>
                            <w:sz w:val="18"/>
                            <w:szCs w:val="18"/>
                            <w:lang w:val="en"/>
                          </w:rPr>
                          <w:t>（</w:t>
                        </w:r>
                        <w:r>
                          <w:rPr>
                            <w:rFonts w:ascii="隶书" w:eastAsia="隶书" w:hint="eastAsia"/>
                            <w:sz w:val="18"/>
                            <w:szCs w:val="18"/>
                          </w:rPr>
                          <w:t>十一</w:t>
                        </w:r>
                        <w:r>
                          <w:rPr>
                            <w:rFonts w:ascii="隶书" w:eastAsia="隶书"/>
                            <w:sz w:val="18"/>
                            <w:szCs w:val="18"/>
                            <w:lang w:val="en"/>
                          </w:rPr>
                          <w:t>）</w:t>
                        </w:r>
                      </w:p>
                    </w:txbxContent>
                  </v:textbox>
                </v:shape>
                <v:shape id="Text Box 26" o:spid="_x0000_s1050" type="#_x0000_t202" style="position:absolute;left:43237;top:48450;width:6972;height:2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rsidR="00000000" w:rsidRDefault="00E513F6">
                        <w:pPr>
                          <w:rPr>
                            <w:rFonts w:ascii="隶书" w:eastAsia="隶书"/>
                            <w:sz w:val="18"/>
                            <w:szCs w:val="18"/>
                            <w:lang w:val="en"/>
                          </w:rPr>
                        </w:pPr>
                        <w:r>
                          <w:rPr>
                            <w:rFonts w:ascii="隶书" w:eastAsia="隶书" w:hint="eastAsia"/>
                            <w:sz w:val="18"/>
                            <w:szCs w:val="18"/>
                          </w:rPr>
                          <w:t>案例</w:t>
                        </w:r>
                        <w:r>
                          <w:rPr>
                            <w:rFonts w:ascii="隶书" w:eastAsia="隶书"/>
                            <w:sz w:val="18"/>
                            <w:szCs w:val="18"/>
                            <w:lang w:val="en"/>
                          </w:rPr>
                          <w:t>（</w:t>
                        </w:r>
                        <w:r>
                          <w:rPr>
                            <w:rFonts w:ascii="隶书" w:eastAsia="隶书" w:hint="eastAsia"/>
                            <w:sz w:val="18"/>
                            <w:szCs w:val="18"/>
                          </w:rPr>
                          <w:t>三</w:t>
                        </w:r>
                        <w:r>
                          <w:rPr>
                            <w:rFonts w:ascii="隶书" w:eastAsia="隶书"/>
                            <w:sz w:val="18"/>
                            <w:szCs w:val="18"/>
                            <w:lang w:val="en"/>
                          </w:rPr>
                          <w:t>）</w:t>
                        </w:r>
                      </w:p>
                    </w:txbxContent>
                  </v:textbox>
                </v:shape>
                <v:roundrect id="AutoShape 27" o:spid="_x0000_s1051" style="position:absolute;left:23437;top:1162;width:13761;height:535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ko8MA&#10;AADbAAAADwAAAGRycy9kb3ducmV2LnhtbESPQWsCMRSE74L/ITyhN00UWtvVKCJYeitde+jxuXnd&#10;Xbp5WZPsuu2vbwTB4zAz3zDr7WAb0ZMPtWMN85kCQVw4U3Op4fN4mD6DCBHZYOOYNPxSgO1mPFpj&#10;ZtyFP6jPYykShEOGGqoY20zKUFRkMcxcS5y8b+ctxiR9KY3HS4LbRi6UepIWa04LFba0r6j4yTur&#10;oTCqU/6rf385Pcb8r+/OLF/PWj9Mht0KRKQh3sO39pvRsFj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Uko8MAAADbAAAADwAAAAAAAAAAAAAAAACYAgAAZHJzL2Rv&#10;d25yZXYueG1sUEsFBgAAAAAEAAQA9QAAAIgDAAAAAA==&#10;">
                  <v:textbox>
                    <w:txbxContent>
                      <w:p w:rsidR="00000000" w:rsidRDefault="00E513F6">
                        <w:pPr>
                          <w:rPr>
                            <w:rFonts w:ascii="隶书" w:eastAsia="隶书"/>
                            <w:sz w:val="18"/>
                            <w:szCs w:val="18"/>
                          </w:rPr>
                        </w:pPr>
                        <w:r>
                          <w:rPr>
                            <w:rFonts w:ascii="隶书" w:eastAsia="隶书" w:hint="eastAsia"/>
                            <w:sz w:val="18"/>
                            <w:szCs w:val="18"/>
                          </w:rPr>
                          <w:t>利用以下方式验证风险控制措施的有效性</w:t>
                        </w:r>
                      </w:p>
                    </w:txbxContent>
                  </v:textbox>
                </v:roundrect>
                <v:shape id="AutoShape 28" o:spid="_x0000_s1052" type="#_x0000_t32" style="position:absolute;left:30302;top:6515;width:19;height:41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f87cEAAADbAAAADwAAAGRycy9kb3ducmV2LnhtbERPPWvDMBDdC/0P4gpdSiPbQzFulBAK&#10;hZChUNuDx0O62CbWyZEUx/331VDo+Hjf2/1qJ7GQD6NjBfkmA0GsnRm5V9A2n68liBCRDU6OScEP&#10;BdjvHh+2WBl3529a6tiLFMKhQgVDjHMlZdADWQwbNxMn7uy8xZig76XxeE/hdpJFlr1JiyOnhgFn&#10;+hhIX+qbVTCe2q92eblGr8tT3vk8NN2klXp+Wg/vICKt8V/85z4aBUUam7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F/ztwQAAANsAAAAPAAAAAAAAAAAAAAAA&#10;AKECAABkcnMvZG93bnJldi54bWxQSwUGAAAAAAQABAD5AAAAjwMAAAAA&#10;">
                  <v:fill o:detectmouseclick="t"/>
                </v:shape>
                <v:rect id="AutoShape 167" o:spid="_x0000_s1053" style="position:absolute;left:1035;top:1295;width:14090;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Si+MQA&#10;AADbAAAADwAAAGRycy9kb3ducmV2LnhtbESPQWvCQBSE70L/w/IKvYhu6kE0ukooLW3Rg4levD2y&#10;r9nQ7NuQ3cb037uC4HGYmW+Y9Xawjeip87VjBa/TBARx6XTNlYLT8WOyAOEDssbGMSn4Jw/bzdNo&#10;jal2F86pL0IlIoR9igpMCG0qpS8NWfRT1xJH78d1FkOUXSV1h5cIt42cJclcWqw5Lhhs6c1Q+Vv8&#10;WQVnt3fvWUKfrTl+h36c5btDkSv18jxkKxCBhvAI39tfWsFsCbcv8QfIz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EovjEAAAA2wAAAA8AAAAAAAAAAAAAAAAAmAIAAGRycy9k&#10;b3ducmV2LnhtbFBLBQYAAAAABAAEAPUAAACJAwAAAAA=&#10;">
                  <v:textbox>
                    <w:txbxContent>
                      <w:p w:rsidR="00000000" w:rsidRDefault="00E513F6">
                        <w:pPr>
                          <w:jc w:val="center"/>
                          <w:rPr>
                            <w:rFonts w:ascii="隶书" w:eastAsia="隶书"/>
                            <w:sz w:val="18"/>
                            <w:szCs w:val="18"/>
                          </w:rPr>
                        </w:pPr>
                        <w:r>
                          <w:rPr>
                            <w:rFonts w:ascii="隶书" w:eastAsia="隶书" w:hint="eastAsia"/>
                            <w:sz w:val="18"/>
                            <w:szCs w:val="18"/>
                          </w:rPr>
                          <w:t>开始</w:t>
                        </w:r>
                      </w:p>
                      <w:p w:rsidR="00000000" w:rsidRDefault="00E513F6">
                        <w:pPr>
                          <w:rPr>
                            <w:rFonts w:hint="eastAsia"/>
                            <w:szCs w:val="18"/>
                          </w:rPr>
                        </w:pPr>
                        <w:r>
                          <w:rPr>
                            <w:rFonts w:ascii="隶书" w:eastAsia="隶书" w:hint="eastAsia"/>
                            <w:sz w:val="18"/>
                            <w:szCs w:val="18"/>
                          </w:rPr>
                          <w:t>（实施风险控制措施后）</w:t>
                        </w:r>
                      </w:p>
                    </w:txbxContent>
                  </v:textbox>
                </v:rect>
                <v:shapetype id="_x0000_t110" coordsize="21600,21600" o:spt="110" path="m10800,l,10800,10800,21600,21600,10800xe">
                  <v:stroke joinstyle="miter"/>
                  <v:path gradientshapeok="t" o:connecttype="rect" textboxrect="5400,5400,16200,16200"/>
                </v:shapetype>
                <v:shape id="AutoShape 155" o:spid="_x0000_s1054" type="#_x0000_t110" style="position:absolute;left:19977;top:25438;width:20523;height:15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3b2sEA&#10;AADbAAAADwAAAGRycy9kb3ducmV2LnhtbERPS2vCQBC+C/6HZQq91U2rVEldRQpiD1J84XnMjklo&#10;ZjZkVxP99e6h4PHje0/nHVfqSo0vnRh4HySgSDJnS8kNHPbLtwkoH1AsVk7IwI08zGf93hRT61rZ&#10;0nUXchVDxKdooAihTrX2WUGMfuBqksidXcMYImxybRtsYzhX+iNJPjVjKbGhwJq+C8r+dhc2sDmN&#10;Ntyu72de30dHri6r8fF3aMzrS7f4AhWoC0/xv/vHGhjG9fFL/AF6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J929rBAAAA2wAAAA8AAAAAAAAAAAAAAAAAmAIAAGRycy9kb3du&#10;cmV2LnhtbFBLBQYAAAAABAAEAPUAAACGAwAAAAA=&#10;">
                  <v:textbox>
                    <w:txbxContent>
                      <w:p w:rsidR="00000000" w:rsidRDefault="00E513F6">
                        <w:pPr>
                          <w:rPr>
                            <w:rFonts w:ascii="隶书" w:eastAsia="隶书"/>
                            <w:sz w:val="18"/>
                            <w:szCs w:val="18"/>
                          </w:rPr>
                        </w:pPr>
                        <w:r>
                          <w:rPr>
                            <w:rFonts w:ascii="隶书" w:eastAsia="隶书" w:hint="eastAsia"/>
                            <w:sz w:val="18"/>
                            <w:szCs w:val="18"/>
                          </w:rPr>
                          <w:t>是否充分验证了产品风险控制措施的有效性？</w:t>
                        </w:r>
                      </w:p>
                      <w:p w:rsidR="00000000" w:rsidRDefault="00E513F6">
                        <w:pPr>
                          <w:rPr>
                            <w:rFonts w:hint="eastAsia"/>
                          </w:rPr>
                        </w:pPr>
                      </w:p>
                    </w:txbxContent>
                  </v:textbox>
                </v:shape>
                <v:shape id="AutoShape 153" o:spid="_x0000_s1055" type="#_x0000_t110" style="position:absolute;left:19913;top:43897;width:20523;height:14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F+QcUA&#10;AADbAAAADwAAAGRycy9kb3ducmV2LnhtbESPX2vCQBDE3wt+h2OFvtWLf6gl9ZRSkPZBRKP4vM2t&#10;SWh2L+ROk/rpvUKhj8PM/IZZrHqu1ZVaXzkxMB4loEhyZyspDBwP66cXUD6gWKydkIEf8rBaDh4W&#10;mFrXyZ6uWShUhIhP0UAZQpNq7fOSGP3INSTRO7uWMUTZFtq22EU413qSJM+asZK4UGJD7yXl39mF&#10;Dey+ZjvuNrczb26zE9eXj/lpOzXmcdi/vYIK1If/8F/70xqYjuH3S/wBe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X5BxQAAANsAAAAPAAAAAAAAAAAAAAAAAJgCAABkcnMv&#10;ZG93bnJldi54bWxQSwUGAAAAAAQABAD1AAAAigMAAAAA&#10;">
                  <v:textbox>
                    <w:txbxContent>
                      <w:p w:rsidR="00000000" w:rsidRDefault="00E513F6">
                        <w:pPr>
                          <w:rPr>
                            <w:rFonts w:ascii="隶书" w:eastAsia="隶书"/>
                            <w:sz w:val="18"/>
                            <w:szCs w:val="18"/>
                          </w:rPr>
                        </w:pPr>
                        <w:r>
                          <w:rPr>
                            <w:rFonts w:ascii="隶书" w:eastAsia="隶书" w:hint="eastAsia"/>
                            <w:sz w:val="18"/>
                            <w:szCs w:val="18"/>
                          </w:rPr>
                          <w:t>缺乏的验证</w:t>
                        </w:r>
                        <w:r>
                          <w:rPr>
                            <w:rFonts w:ascii="隶书" w:eastAsia="隶书" w:hint="eastAsia"/>
                            <w:sz w:val="18"/>
                            <w:szCs w:val="18"/>
                          </w:rPr>
                          <w:t>/</w:t>
                        </w:r>
                        <w:r>
                          <w:rPr>
                            <w:rFonts w:ascii="隶书" w:eastAsia="隶书" w:hint="eastAsia"/>
                            <w:sz w:val="18"/>
                            <w:szCs w:val="18"/>
                          </w:rPr>
                          <w:t>确认资料是否可通过动物试验获得？</w:t>
                        </w:r>
                      </w:p>
                      <w:p w:rsidR="00000000" w:rsidRDefault="00E513F6">
                        <w:pPr>
                          <w:rPr>
                            <w:rFonts w:hint="eastAsia"/>
                          </w:rPr>
                        </w:pPr>
                      </w:p>
                    </w:txbxContent>
                  </v:textbox>
                </v:shape>
                <v:shape id="AutoShape 154" o:spid="_x0000_s1056" type="#_x0000_t110" style="position:absolute;left:19653;top:62820;width:20872;height:148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PgNsUA&#10;AADbAAAADwAAAGRycy9kb3ducmV2LnhtbESPX2vCQBDE3wW/w7GFvtVLVWpJPUUKpT6I+A+ft7k1&#10;Cc3uhdxpop/eKxR8HGbmN8x03nGlLtT40omB10ECiiRztpTcwGH/9fIOygcUi5UTMnAlD/NZvzfF&#10;1LpWtnTZhVxFiPgUDRQh1KnWPiuI0Q9cTRK9k2sYQ5RNrm2DbYRzpYdJ8qYZS4kLBdb0WVD2uzuz&#10;gc3PeMPt6nbi1W185Or8PTmuR8Y8P3WLD1CBuvAI/7eX1sBoCH9f4g/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4+A2xQAAANsAAAAPAAAAAAAAAAAAAAAAAJgCAABkcnMv&#10;ZG93bnJldi54bWxQSwUGAAAAAAQABAD1AAAAigMAAAAA&#10;">
                  <v:textbox>
                    <w:txbxContent>
                      <w:p w:rsidR="00000000" w:rsidRDefault="00E513F6">
                        <w:pPr>
                          <w:rPr>
                            <w:rFonts w:ascii="隶书" w:eastAsia="隶书"/>
                            <w:sz w:val="18"/>
                            <w:szCs w:val="18"/>
                          </w:rPr>
                        </w:pPr>
                        <w:r>
                          <w:rPr>
                            <w:rFonts w:ascii="隶书" w:eastAsia="隶书" w:hint="eastAsia"/>
                            <w:sz w:val="18"/>
                            <w:szCs w:val="18"/>
                          </w:rPr>
                          <w:t>已有信息，如同类产品动物试验数据是否适用且充分？</w:t>
                        </w:r>
                      </w:p>
                    </w:txbxContent>
                  </v:textbox>
                </v:shape>
                <v:shape id="AutoShape 33" o:spid="_x0000_s1057" type="#_x0000_t32" style="position:absolute;left:15125;top:3771;width:8312;height: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seNMQAAADbAAAADwAAAGRycy9kb3ducmV2LnhtbESPQWvCQBSE74L/YXlCL1I3NiIluopY&#10;CqUU1NhLb4/sM4lm34bsmsR/7xYEj8PMfMMs172pREuNKy0rmE4iEMSZ1SXnCn6Pn6/vIJxH1lhZ&#10;JgU3crBeDQdLTLTt+EBt6nMRIOwSVFB4XydSuqwgg25ia+LgnWxj0AfZ5FI32AW4qeRbFM2lwZLD&#10;QoE1bQvKLunVKLi4czrbRd8fHLfZ1f6MOx3/7ZV6GfWbBQhPvX+GH+0vrSCO4f9L+AFyd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ax40xAAAANsAAAAPAAAAAAAAAAAA&#10;AAAAAKECAABkcnMvZG93bnJldi54bWxQSwUGAAAAAAQABAD5AAAAkgMAAAAA&#10;">
                  <v:fill o:detectmouseclick="t"/>
                  <v:stroke endarrow="block" endarrowwidth="narrow" endarrowlength="long"/>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4" o:spid="_x0000_s1058" type="#_x0000_t34" style="position:absolute;left:30765;top:-10034;width:457;height:41371;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KIUMMAAADbAAAADwAAAGRycy9kb3ducmV2LnhtbESPS2vDMBCE74X+B7GF3Bq5bQjBtWxK&#10;obSQUx5getta67dWxlId599HgUCOw8x8wyTZbHox0egaywpelhEI4sLqhisFx8PX8waE88gae8uk&#10;4EwOsvTxIcFY2xPvaNr7SgQIuxgV1N4PsZSuqMmgW9qBOHilHQ36IMdK6hFPAW56+RpFa2mw4bBQ&#10;40CfNRXd/t8oyCnftcP3Jl//davtb0uyaH2p1OJp/ngH4Wn29/Ct/aMVvK3g+iX8AJl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AiiFDDAAAA2wAAAA8AAAAAAAAAAAAA&#10;AAAAoQIAAGRycy9kb3ducmV2LnhtbFBLBQYAAAAABAAEAPkAAACRAwAAAAA=&#10;" adj="-108000">
                  <v:fill o:detectmouseclick="t"/>
                </v:shape>
                <v:shape id="AutoShape 35" o:spid="_x0000_s1059" type="#_x0000_t34" style="position:absolute;left:30809;top:-1252;width:362;height:41370;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aXOcQAAADbAAAADwAAAGRycy9kb3ducmV2LnhtbESPy27CMBRE95X4B+sisSsO0PIIGNSH&#10;qNiw4PEBV/ElCcTXkW1CytfXlZBYjmbmjGaxak0lGnK+tKxg0E9AEGdWl5wrOB7Wr1MQPiBrrCyT&#10;gl/ysFp2XhaYanvjHTX7kIsIYZ+igiKEOpXSZwUZ9H1bE0fvZJ3BEKXLpXZ4i3BTyWGSjKXBkuNC&#10;gTV9FZRd9lejYPrDn9v79/WySc6TmS3ftg07rVSv237MQQRqwzP8aG+0gtE7/H+JP0A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1pc5xAAAANsAAAAPAAAAAAAAAAAA&#10;AAAAAKECAABkcnMvZG93bnJldi54bWxQSwUGAAAAAAQABAD5AAAAkgMAAAAA&#10;" adj="157642">
                  <v:fill o:detectmouseclick="t"/>
                </v:shape>
                <v:rect id="Rectangle 115" o:spid="_x0000_s1060" style="position:absolute;left:2984;top:67678;width:9081;height:50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MH7MIA&#10;AADbAAAADwAAAGRycy9kb3ducmV2LnhtbESPQYvCMBSE74L/ITxhb5rqgko1iiguHgSxSsHbo3m2&#10;xealNFmt/94IgsdhZr5h5svWVOJOjSstKxgOIhDEmdUl5wrOp21/CsJ5ZI2VZVLwJAfLRbczx1jb&#10;Bx/pnvhcBAi7GBUU3texlC4ryKAb2Jo4eFfbGPRBNrnUDT4C3FRyFEVjabDksFBgTeuCslvybxRM&#10;6Ggnu5s+JJd9atP1frSh+k+pn167moHw1Ppv+NPeaQW/Y3h/CT9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IwfswgAAANsAAAAPAAAAAAAAAAAAAAAAAJgCAABkcnMvZG93&#10;bnJldi54bWxQSwUGAAAAAAQABAD1AAAAhwMAAAAA&#10;" strokecolor="#f79646" strokeweight="5pt">
                  <v:stroke linestyle="thickThin"/>
                  <v:textbox>
                    <w:txbxContent>
                      <w:p w:rsidR="00000000" w:rsidRDefault="00E513F6">
                        <w:pPr>
                          <w:jc w:val="center"/>
                          <w:rPr>
                            <w:rFonts w:ascii="隶书" w:eastAsia="隶书"/>
                            <w:sz w:val="18"/>
                            <w:szCs w:val="18"/>
                          </w:rPr>
                        </w:pPr>
                        <w:r>
                          <w:rPr>
                            <w:rFonts w:ascii="隶书" w:eastAsia="隶书" w:hint="eastAsia"/>
                            <w:sz w:val="18"/>
                            <w:szCs w:val="18"/>
                          </w:rPr>
                          <w:t>开展</w:t>
                        </w:r>
                      </w:p>
                      <w:p w:rsidR="00000000" w:rsidRDefault="00E513F6">
                        <w:pPr>
                          <w:jc w:val="center"/>
                          <w:rPr>
                            <w:rFonts w:ascii="隶书" w:eastAsia="隶书" w:hint="eastAsia"/>
                            <w:sz w:val="18"/>
                            <w:szCs w:val="18"/>
                          </w:rPr>
                        </w:pPr>
                        <w:r>
                          <w:rPr>
                            <w:rFonts w:ascii="隶书" w:eastAsia="隶书" w:hint="eastAsia"/>
                            <w:sz w:val="18"/>
                            <w:szCs w:val="18"/>
                          </w:rPr>
                          <w:t>动物试验</w:t>
                        </w:r>
                      </w:p>
                    </w:txbxContent>
                  </v:textbox>
                </v:rect>
                <v:rect id="Rectangle 118" o:spid="_x0000_s1061" style="position:absolute;left:48412;top:67678;width:10401;height:5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6zHMQA&#10;AADbAAAADwAAAGRycy9kb3ducmV2LnhtbESPQUvDQBSE7wX/w/IEb81GrVZiN0EEsaWnVqH09sw+&#10;k2j2bbq7Tdd/7xYEj8PMfMMsqmh6MZLznWUF11kOgri2uuNGwfvby/QBhA/IGnvLpOCHPFTlxWSB&#10;hbYn3tC4DY1IEPYFKmhDGAopfd2SQZ/ZgTh5n9YZDEm6RmqHpwQ3vbzJ83tpsOO00OJAzy3V39uj&#10;UeBmmnZrP8a9e/06xLvDgB+7lVJXl/HpEUSgGP7Df+2lVnA7h/OX9ANk+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esxzEAAAA2wAAAA8AAAAAAAAAAAAAAAAAmAIAAGRycy9k&#10;b3ducmV2LnhtbFBLBQYAAAAABAAEAPUAAACJAwAAAAA=&#10;" strokecolor="#4bacc6" strokeweight="5pt">
                  <v:stroke linestyle="thickThin"/>
                  <v:textbox>
                    <w:txbxContent>
                      <w:p w:rsidR="00000000" w:rsidRDefault="00E513F6">
                        <w:pPr>
                          <w:jc w:val="center"/>
                          <w:rPr>
                            <w:rFonts w:ascii="隶书" w:eastAsia="隶书"/>
                            <w:sz w:val="18"/>
                            <w:szCs w:val="18"/>
                          </w:rPr>
                        </w:pPr>
                        <w:r>
                          <w:rPr>
                            <w:rFonts w:ascii="隶书" w:eastAsia="隶书" w:hint="eastAsia"/>
                            <w:sz w:val="18"/>
                            <w:szCs w:val="18"/>
                          </w:rPr>
                          <w:t>不开展</w:t>
                        </w:r>
                      </w:p>
                      <w:p w:rsidR="00000000" w:rsidRDefault="00E513F6">
                        <w:pPr>
                          <w:jc w:val="center"/>
                          <w:rPr>
                            <w:rFonts w:ascii="隶书" w:eastAsia="隶书" w:hint="eastAsia"/>
                            <w:sz w:val="18"/>
                            <w:szCs w:val="18"/>
                          </w:rPr>
                        </w:pPr>
                        <w:r>
                          <w:rPr>
                            <w:rFonts w:ascii="隶书" w:eastAsia="隶书" w:hint="eastAsia"/>
                            <w:sz w:val="18"/>
                            <w:szCs w:val="18"/>
                          </w:rPr>
                          <w:t>动物试验</w:t>
                        </w:r>
                      </w:p>
                    </w:txbxContent>
                  </v:textbox>
                </v:rect>
                <w10:wrap type="square"/>
              </v:group>
            </w:pict>
          </mc:Fallback>
        </mc:AlternateContent>
      </w:r>
      <w:r w:rsidR="00E513F6">
        <w:rPr>
          <w:rFonts w:ascii="黑体" w:eastAsia="黑体" w:hAnsi="黑体" w:cs="黑体" w:hint="eastAsia"/>
          <w:color w:val="000000"/>
          <w:sz w:val="28"/>
          <w:szCs w:val="28"/>
        </w:rPr>
        <w:t>图1 决策开展动物试验的流程图</w:t>
      </w:r>
    </w:p>
    <w:p w14:paraId="713CF005" w14:textId="77777777" w:rsidR="007D5E56" w:rsidRDefault="00E513F6">
      <w:pPr>
        <w:overflowPunct w:val="0"/>
        <w:spacing w:line="540" w:lineRule="exact"/>
        <w:ind w:firstLineChars="200" w:firstLine="640"/>
        <w:rPr>
          <w:rFonts w:eastAsia="黑体"/>
          <w:color w:val="000000"/>
          <w:sz w:val="32"/>
          <w:szCs w:val="32"/>
        </w:rPr>
      </w:pPr>
      <w:r>
        <w:rPr>
          <w:rFonts w:eastAsia="黑体"/>
          <w:color w:val="000000"/>
          <w:sz w:val="32"/>
          <w:szCs w:val="32"/>
        </w:rPr>
        <w:lastRenderedPageBreak/>
        <w:t>三、是否开展动物试验的决策案例</w:t>
      </w:r>
    </w:p>
    <w:p w14:paraId="49D0EC7F" w14:textId="77777777" w:rsidR="007D5E56" w:rsidRDefault="00E513F6">
      <w:pPr>
        <w:autoSpaceDE w:val="0"/>
        <w:autoSpaceDN w:val="0"/>
        <w:adjustRightInd w:val="0"/>
        <w:spacing w:line="540" w:lineRule="exact"/>
        <w:ind w:firstLineChars="200" w:firstLine="640"/>
        <w:rPr>
          <w:rFonts w:eastAsia="仿宋_GB2312"/>
          <w:sz w:val="32"/>
          <w:szCs w:val="32"/>
        </w:rPr>
      </w:pPr>
      <w:r>
        <w:rPr>
          <w:rFonts w:eastAsia="仿宋_GB2312"/>
          <w:sz w:val="32"/>
          <w:szCs w:val="32"/>
        </w:rPr>
        <w:t>附页列出了部分可能需要开展动物试验的产品示例，需要注意的是，在不同的具体情形下，根据决策原则对于同样的产品可能将得出不同的判定结果；另外，对于表中未列的医疗器械产品，在某些具体情形下也可能需要开展动物试验。建议申请人根据产品实际情况参照决策流程图予以判定。</w:t>
      </w:r>
    </w:p>
    <w:p w14:paraId="6F0DA790" w14:textId="77777777" w:rsidR="007D5E56" w:rsidRDefault="00E513F6">
      <w:pPr>
        <w:autoSpaceDE w:val="0"/>
        <w:autoSpaceDN w:val="0"/>
        <w:adjustRightInd w:val="0"/>
        <w:spacing w:line="540" w:lineRule="exact"/>
        <w:ind w:firstLineChars="200" w:firstLine="640"/>
        <w:rPr>
          <w:rFonts w:eastAsia="仿宋_GB2312"/>
          <w:sz w:val="32"/>
          <w:szCs w:val="32"/>
        </w:rPr>
      </w:pPr>
      <w:r>
        <w:rPr>
          <w:rFonts w:eastAsia="仿宋_GB2312"/>
          <w:sz w:val="32"/>
          <w:szCs w:val="32"/>
        </w:rPr>
        <w:t>为便于理解决策原则，本章节列举了以下实际案例。相关案例仅针对特定产品在具体情形下的决策判定，例如同一申请人在前代植入式心脏起搏器基础上对产品功能的改进或更新，再例如采用新材料制造的肠道吻合器等。</w:t>
      </w:r>
    </w:p>
    <w:p w14:paraId="79E240EF" w14:textId="77777777" w:rsidR="007D5E56" w:rsidRDefault="00E513F6">
      <w:pPr>
        <w:spacing w:line="540" w:lineRule="exact"/>
        <w:ind w:firstLineChars="200" w:firstLine="640"/>
        <w:rPr>
          <w:rFonts w:eastAsia="楷体_GB2312"/>
          <w:color w:val="000000"/>
          <w:sz w:val="32"/>
        </w:rPr>
      </w:pPr>
      <w:r>
        <w:rPr>
          <w:rFonts w:eastAsia="楷体_GB2312"/>
          <w:color w:val="000000"/>
          <w:sz w:val="32"/>
        </w:rPr>
        <w:t>（一）多孔涂层生物型髋关节假体</w:t>
      </w:r>
    </w:p>
    <w:p w14:paraId="77E21A51" w14:textId="77777777" w:rsidR="007D5E56" w:rsidRDefault="00E513F6">
      <w:pPr>
        <w:autoSpaceDE w:val="0"/>
        <w:autoSpaceDN w:val="0"/>
        <w:adjustRightInd w:val="0"/>
        <w:spacing w:line="540" w:lineRule="exact"/>
        <w:ind w:firstLineChars="200" w:firstLine="640"/>
        <w:rPr>
          <w:rFonts w:eastAsia="仿宋_GB2312"/>
          <w:sz w:val="32"/>
          <w:szCs w:val="32"/>
        </w:rPr>
      </w:pPr>
      <w:r>
        <w:rPr>
          <w:rFonts w:eastAsia="仿宋_GB2312"/>
          <w:sz w:val="32"/>
          <w:szCs w:val="32"/>
        </w:rPr>
        <w:t>多孔涂层生物型髋关节假体的主要风险包括产品骨结</w:t>
      </w:r>
      <w:proofErr w:type="gramStart"/>
      <w:r>
        <w:rPr>
          <w:rFonts w:eastAsia="仿宋_GB2312"/>
          <w:sz w:val="32"/>
          <w:szCs w:val="32"/>
        </w:rPr>
        <w:t>合效果</w:t>
      </w:r>
      <w:proofErr w:type="gramEnd"/>
      <w:r>
        <w:rPr>
          <w:rFonts w:eastAsia="仿宋_GB2312"/>
          <w:sz w:val="32"/>
          <w:szCs w:val="32"/>
        </w:rPr>
        <w:t>欠佳或涂层剥落造成的假体固定失败等，通过动物试验可评价涂层的骨结合效果。如果通过涂层的成分表征、形貌及体视学数据（厚度、孔隙率、孔隙尺度等）、涂层机械性能评价（涂层与基体结合强度等）、涂层稳定性及耐腐蚀性能评价、生物相容性评价等研究证明其与已上市同类产品的涂层具有等同性，则无需通过动物试验来评估多孔涂层的骨结</w:t>
      </w:r>
      <w:proofErr w:type="gramStart"/>
      <w:r>
        <w:rPr>
          <w:rFonts w:eastAsia="仿宋_GB2312"/>
          <w:sz w:val="32"/>
          <w:szCs w:val="32"/>
        </w:rPr>
        <w:t>合效果</w:t>
      </w:r>
      <w:proofErr w:type="gramEnd"/>
      <w:r>
        <w:rPr>
          <w:rFonts w:eastAsia="仿宋_GB2312"/>
          <w:sz w:val="32"/>
          <w:szCs w:val="32"/>
        </w:rPr>
        <w:t>和涂层的稳定性。</w:t>
      </w:r>
    </w:p>
    <w:p w14:paraId="38187B41" w14:textId="77777777" w:rsidR="007D5E56" w:rsidRDefault="00E513F6">
      <w:pPr>
        <w:overflowPunct w:val="0"/>
        <w:spacing w:line="540" w:lineRule="exact"/>
        <w:ind w:firstLineChars="200" w:firstLine="640"/>
        <w:rPr>
          <w:rFonts w:eastAsia="楷体_GB2312"/>
          <w:color w:val="000000"/>
          <w:sz w:val="32"/>
          <w:szCs w:val="32"/>
        </w:rPr>
      </w:pPr>
      <w:r>
        <w:rPr>
          <w:rFonts w:eastAsia="楷体_GB2312"/>
          <w:color w:val="000000"/>
          <w:sz w:val="32"/>
          <w:szCs w:val="32"/>
        </w:rPr>
        <w:t>（二）心电图机</w:t>
      </w:r>
    </w:p>
    <w:p w14:paraId="1E3D40C3" w14:textId="77777777" w:rsidR="007D5E56" w:rsidRDefault="00E513F6">
      <w:pPr>
        <w:autoSpaceDE w:val="0"/>
        <w:autoSpaceDN w:val="0"/>
        <w:adjustRightInd w:val="0"/>
        <w:spacing w:line="540" w:lineRule="exact"/>
        <w:ind w:firstLineChars="200" w:firstLine="640"/>
        <w:rPr>
          <w:rFonts w:eastAsia="仿宋_GB2312"/>
          <w:sz w:val="32"/>
          <w:szCs w:val="32"/>
        </w:rPr>
      </w:pPr>
      <w:r>
        <w:rPr>
          <w:rFonts w:eastAsia="仿宋_GB2312"/>
          <w:sz w:val="32"/>
          <w:szCs w:val="32"/>
        </w:rPr>
        <w:t>心电图机的主要风险之一是工作数据的</w:t>
      </w:r>
      <w:proofErr w:type="gramStart"/>
      <w:r>
        <w:rPr>
          <w:rFonts w:eastAsia="仿宋_GB2312"/>
          <w:sz w:val="32"/>
          <w:szCs w:val="32"/>
        </w:rPr>
        <w:t>不</w:t>
      </w:r>
      <w:proofErr w:type="gramEnd"/>
      <w:r>
        <w:rPr>
          <w:rFonts w:eastAsia="仿宋_GB2312"/>
          <w:sz w:val="32"/>
          <w:szCs w:val="32"/>
        </w:rPr>
        <w:t>准确性，包括心电图自动测量的</w:t>
      </w:r>
      <w:proofErr w:type="gramStart"/>
      <w:r>
        <w:rPr>
          <w:rFonts w:eastAsia="仿宋_GB2312"/>
          <w:sz w:val="32"/>
          <w:szCs w:val="32"/>
        </w:rPr>
        <w:t>不</w:t>
      </w:r>
      <w:proofErr w:type="gramEnd"/>
      <w:r>
        <w:rPr>
          <w:rFonts w:eastAsia="仿宋_GB2312"/>
          <w:sz w:val="32"/>
          <w:szCs w:val="32"/>
        </w:rPr>
        <w:t>准确性和心电图自动诊断的</w:t>
      </w:r>
      <w:proofErr w:type="gramStart"/>
      <w:r>
        <w:rPr>
          <w:rFonts w:eastAsia="仿宋_GB2312"/>
          <w:sz w:val="32"/>
          <w:szCs w:val="32"/>
        </w:rPr>
        <w:t>不</w:t>
      </w:r>
      <w:proofErr w:type="gramEnd"/>
      <w:r>
        <w:rPr>
          <w:rFonts w:eastAsia="仿宋_GB2312"/>
          <w:sz w:val="32"/>
          <w:szCs w:val="32"/>
        </w:rPr>
        <w:t>准确性。可进行实验室研究，通过心电图标准数据库来验证心电图自动测量的准确性，可通过形态诊断用心电图数据库和节律诊断用心电图数据库来确认公开形态解释的准确性和公开节律诊断的准确性，无需开</w:t>
      </w:r>
      <w:r>
        <w:rPr>
          <w:rFonts w:eastAsia="仿宋_GB2312"/>
          <w:sz w:val="32"/>
          <w:szCs w:val="32"/>
        </w:rPr>
        <w:lastRenderedPageBreak/>
        <w:t>展动物试验。</w:t>
      </w:r>
    </w:p>
    <w:p w14:paraId="2EEA2BA5"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（三）注射用交联透明质酸钠凝胶</w:t>
      </w:r>
    </w:p>
    <w:p w14:paraId="6899124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交联透明质酸钠凝胶可用于面部注射以纠正鼻唇沟皱纹，纠正效果一般可达到</w:t>
      </w:r>
      <w:r>
        <w:rPr>
          <w:rFonts w:eastAsia="仿宋_GB2312"/>
          <w:sz w:val="32"/>
          <w:szCs w:val="32"/>
        </w:rPr>
        <w:t>6</w:t>
      </w:r>
      <w:r>
        <w:rPr>
          <w:rFonts w:eastAsia="仿宋_GB2312"/>
          <w:sz w:val="32"/>
          <w:szCs w:val="32"/>
        </w:rPr>
        <w:t>个月。鉴于通过动物试验无法考察人体面部皱纹的改善程度，故一般不采用动物试验数据支持该类产品的有效性，建议在人体临床评价资料中关注产品注射</w:t>
      </w:r>
      <w:r>
        <w:rPr>
          <w:rFonts w:eastAsia="仿宋_GB2312"/>
          <w:sz w:val="32"/>
          <w:szCs w:val="32"/>
        </w:rPr>
        <w:t>6</w:t>
      </w:r>
      <w:r>
        <w:rPr>
          <w:rFonts w:eastAsia="仿宋_GB2312"/>
          <w:sz w:val="32"/>
          <w:szCs w:val="32"/>
        </w:rPr>
        <w:t>个月时的鼻唇沟皱纹严重程度分级（如</w:t>
      </w:r>
      <w:r>
        <w:rPr>
          <w:rFonts w:eastAsia="仿宋_GB2312"/>
          <w:sz w:val="32"/>
          <w:szCs w:val="32"/>
        </w:rPr>
        <w:t>WSRS</w:t>
      </w:r>
      <w:r>
        <w:rPr>
          <w:rFonts w:eastAsia="仿宋_GB2312"/>
          <w:sz w:val="32"/>
          <w:szCs w:val="32"/>
        </w:rPr>
        <w:t>）较术前的改善程度等疗效评价指标。</w:t>
      </w:r>
    </w:p>
    <w:p w14:paraId="535E6C74"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（四）可吸收生物</w:t>
      </w:r>
      <w:proofErr w:type="gramStart"/>
      <w:r>
        <w:rPr>
          <w:rFonts w:eastAsia="楷体_GB2312"/>
          <w:color w:val="000000"/>
          <w:sz w:val="32"/>
          <w:szCs w:val="32"/>
        </w:rPr>
        <w:t>疝</w:t>
      </w:r>
      <w:proofErr w:type="gramEnd"/>
      <w:r>
        <w:rPr>
          <w:rFonts w:eastAsia="楷体_GB2312"/>
          <w:color w:val="000000"/>
          <w:sz w:val="32"/>
          <w:szCs w:val="32"/>
        </w:rPr>
        <w:t>修补</w:t>
      </w:r>
      <w:proofErr w:type="gramStart"/>
      <w:r>
        <w:rPr>
          <w:rFonts w:eastAsia="楷体_GB2312"/>
          <w:color w:val="000000"/>
          <w:sz w:val="32"/>
          <w:szCs w:val="32"/>
        </w:rPr>
        <w:t>补</w:t>
      </w:r>
      <w:proofErr w:type="gramEnd"/>
      <w:r>
        <w:rPr>
          <w:rFonts w:eastAsia="楷体_GB2312"/>
          <w:color w:val="000000"/>
          <w:sz w:val="32"/>
          <w:szCs w:val="32"/>
        </w:rPr>
        <w:t>片</w:t>
      </w:r>
    </w:p>
    <w:p w14:paraId="68738F5B"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本案例提及的可吸收生物</w:t>
      </w:r>
      <w:proofErr w:type="gramStart"/>
      <w:r>
        <w:rPr>
          <w:rFonts w:eastAsia="仿宋_GB2312"/>
          <w:sz w:val="32"/>
          <w:szCs w:val="32"/>
        </w:rPr>
        <w:t>疝</w:t>
      </w:r>
      <w:proofErr w:type="gramEnd"/>
      <w:r>
        <w:rPr>
          <w:rFonts w:eastAsia="仿宋_GB2312"/>
          <w:sz w:val="32"/>
          <w:szCs w:val="32"/>
        </w:rPr>
        <w:t>修补</w:t>
      </w:r>
      <w:proofErr w:type="gramStart"/>
      <w:r>
        <w:rPr>
          <w:rFonts w:eastAsia="仿宋_GB2312"/>
          <w:sz w:val="32"/>
          <w:szCs w:val="32"/>
        </w:rPr>
        <w:t>补</w:t>
      </w:r>
      <w:proofErr w:type="gramEnd"/>
      <w:r>
        <w:rPr>
          <w:rFonts w:eastAsia="仿宋_GB2312"/>
          <w:sz w:val="32"/>
          <w:szCs w:val="32"/>
        </w:rPr>
        <w:t>片用于修复腹壁</w:t>
      </w:r>
      <w:proofErr w:type="gramStart"/>
      <w:r>
        <w:rPr>
          <w:rFonts w:eastAsia="仿宋_GB2312"/>
          <w:sz w:val="32"/>
          <w:szCs w:val="32"/>
        </w:rPr>
        <w:t>疝</w:t>
      </w:r>
      <w:proofErr w:type="gramEnd"/>
      <w:r>
        <w:rPr>
          <w:rFonts w:eastAsia="仿宋_GB2312"/>
          <w:sz w:val="32"/>
          <w:szCs w:val="32"/>
        </w:rPr>
        <w:t>及腹壁缺损，一般具有类似细胞外基质的微观结构。产品植入人体后，宿主细胞在材料中生长，最终重塑出的腹壁组织对缺损进行修补。</w:t>
      </w:r>
    </w:p>
    <w:p w14:paraId="344F818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该类产品最主要的风险之一在于</w:t>
      </w:r>
      <w:proofErr w:type="gramStart"/>
      <w:r>
        <w:rPr>
          <w:rFonts w:eastAsia="仿宋_GB2312"/>
          <w:sz w:val="32"/>
          <w:szCs w:val="32"/>
        </w:rPr>
        <w:t>疝</w:t>
      </w:r>
      <w:proofErr w:type="gramEnd"/>
      <w:r>
        <w:rPr>
          <w:rFonts w:eastAsia="仿宋_GB2312"/>
          <w:sz w:val="32"/>
          <w:szCs w:val="32"/>
        </w:rPr>
        <w:t>或腹壁缺损的复发，宜采取一系列风险控制措施确保产品组织重建的有效性，以降低</w:t>
      </w:r>
      <w:proofErr w:type="gramStart"/>
      <w:r>
        <w:rPr>
          <w:rFonts w:eastAsia="仿宋_GB2312"/>
          <w:sz w:val="32"/>
          <w:szCs w:val="32"/>
        </w:rPr>
        <w:t>疝</w:t>
      </w:r>
      <w:proofErr w:type="gramEnd"/>
      <w:r>
        <w:rPr>
          <w:rFonts w:eastAsia="仿宋_GB2312"/>
          <w:sz w:val="32"/>
          <w:szCs w:val="32"/>
        </w:rPr>
        <w:t>复发的风险。对于该类产品，仅仅依靠常规的实验室研究并不能验证</w:t>
      </w:r>
      <w:proofErr w:type="gramStart"/>
      <w:r>
        <w:rPr>
          <w:rFonts w:eastAsia="仿宋_GB2312"/>
          <w:sz w:val="32"/>
          <w:szCs w:val="32"/>
        </w:rPr>
        <w:t>疝</w:t>
      </w:r>
      <w:proofErr w:type="gramEnd"/>
      <w:r>
        <w:rPr>
          <w:rFonts w:eastAsia="仿宋_GB2312"/>
          <w:sz w:val="32"/>
          <w:szCs w:val="32"/>
        </w:rPr>
        <w:t>复发风险相关控制措施的有效性，宜考虑使用组织病理学等动物试验数据验证组织重建效果。</w:t>
      </w:r>
    </w:p>
    <w:p w14:paraId="69281DD5"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申请人在开展动物试验前可收集已有同类产品的动物试验资料或文献数据，并分析这些数据能否用于支持申报产品组织重建效果的评价，如现有资料充分则无需开展动物试验。</w:t>
      </w:r>
    </w:p>
    <w:p w14:paraId="430D6AC4"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（五）体外除颤产品</w:t>
      </w:r>
    </w:p>
    <w:p w14:paraId="74C5BABD"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体外除颤产品供不同的使用者和操作者在不同的预期使用环境下进行体外电复律治疗。</w:t>
      </w:r>
    </w:p>
    <w:p w14:paraId="6099E72F"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lastRenderedPageBreak/>
        <w:t>对于该类产品，常规的实验室研究并不能验证体外电复</w:t>
      </w:r>
      <w:proofErr w:type="gramStart"/>
      <w:r>
        <w:rPr>
          <w:rFonts w:eastAsia="仿宋_GB2312"/>
          <w:sz w:val="32"/>
          <w:szCs w:val="32"/>
        </w:rPr>
        <w:t>律技术</w:t>
      </w:r>
      <w:proofErr w:type="gramEnd"/>
      <w:r>
        <w:rPr>
          <w:rFonts w:eastAsia="仿宋_GB2312"/>
          <w:sz w:val="32"/>
          <w:szCs w:val="32"/>
        </w:rPr>
        <w:t>风险相关控制措施的有效性，因此宜使用活体动物开展</w:t>
      </w:r>
      <w:r>
        <w:rPr>
          <w:rFonts w:eastAsia="仿宋_GB2312" w:hint="eastAsia"/>
          <w:sz w:val="32"/>
          <w:szCs w:val="32"/>
        </w:rPr>
        <w:t>试验</w:t>
      </w:r>
      <w:r>
        <w:rPr>
          <w:rFonts w:eastAsia="仿宋_GB2312"/>
          <w:sz w:val="32"/>
          <w:szCs w:val="32"/>
        </w:rPr>
        <w:t>获得除颤研究数据进行验证。</w:t>
      </w:r>
    </w:p>
    <w:p w14:paraId="0B46E01A"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（六）超声软组织切割止血系统</w:t>
      </w:r>
    </w:p>
    <w:p w14:paraId="390FF9BF"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超声软组织切割止血系统用于软组织切割和血管闭合产品通过摩擦产生的热量导致组织凝固后被切开、封闭血管（本例子不包含</w:t>
      </w:r>
      <w:r>
        <w:rPr>
          <w:rFonts w:eastAsia="仿宋_GB2312"/>
          <w:sz w:val="32"/>
          <w:szCs w:val="32"/>
        </w:rPr>
        <w:t>3mm</w:t>
      </w:r>
      <w:r>
        <w:rPr>
          <w:rFonts w:eastAsia="仿宋_GB2312"/>
          <w:sz w:val="32"/>
          <w:szCs w:val="32"/>
        </w:rPr>
        <w:t>以上血管的切割和闭合功能的特殊要求）。</w:t>
      </w:r>
    </w:p>
    <w:p w14:paraId="34ECE5FC"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该产品主要风险包括产品设计不合理等原因可能造成的血管切割闭合不充分和组织热损伤等。仅依靠实验室研究无法充分验证这些风险的控制措施是否有效</w:t>
      </w:r>
      <w:r>
        <w:rPr>
          <w:rFonts w:eastAsia="仿宋_GB2312"/>
          <w:sz w:val="32"/>
          <w:szCs w:val="32"/>
        </w:rPr>
        <w:t>,</w:t>
      </w:r>
      <w:r>
        <w:rPr>
          <w:rFonts w:eastAsia="仿宋_GB2312"/>
          <w:sz w:val="32"/>
          <w:szCs w:val="32"/>
        </w:rPr>
        <w:t>需要通过急性动物试验观察产品的即刻的血管切割闭合情况和组织热损伤情况，需要通过慢性动物试验观察热损伤愈合情况和</w:t>
      </w:r>
      <w:proofErr w:type="gramStart"/>
      <w:r>
        <w:rPr>
          <w:rFonts w:eastAsia="仿宋_GB2312"/>
          <w:sz w:val="32"/>
          <w:szCs w:val="32"/>
        </w:rPr>
        <w:t>继发</w:t>
      </w:r>
      <w:proofErr w:type="gramEnd"/>
      <w:r>
        <w:rPr>
          <w:rFonts w:eastAsia="仿宋_GB2312"/>
          <w:sz w:val="32"/>
          <w:szCs w:val="32"/>
        </w:rPr>
        <w:t>出血情况，进而验证风险控制措施的有效性。</w:t>
      </w:r>
    </w:p>
    <w:p w14:paraId="7F3FC6F7"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2.</w:t>
      </w:r>
      <w:proofErr w:type="gramStart"/>
      <w:r>
        <w:rPr>
          <w:rFonts w:eastAsia="仿宋_GB2312"/>
          <w:sz w:val="32"/>
          <w:szCs w:val="32"/>
        </w:rPr>
        <w:t>若申请</w:t>
      </w:r>
      <w:proofErr w:type="gramEnd"/>
      <w:r>
        <w:rPr>
          <w:rFonts w:eastAsia="仿宋_GB2312"/>
          <w:sz w:val="32"/>
          <w:szCs w:val="32"/>
        </w:rPr>
        <w:t>的产品包含多个类似设计的刀头，可在开展动物试验前通过体外爆破压力实验筛选出性能最差的刀头开展动物试验，以起到减免部分动物试验的目的。对于新增与已有刀头相似（设计类似、性能相近）的刀头，可使用体外爆破压力实验结果证明其与相似刀头的等同性，不再开展动物试验。</w:t>
      </w:r>
    </w:p>
    <w:p w14:paraId="4CC0EA71"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（七）植入式心脏起搏器</w:t>
      </w:r>
    </w:p>
    <w:p w14:paraId="1FEEBC81"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植入式心脏起搏器属于高风险植入器械，开展动物试验可以为产品设计定型提供相应的证据支持。若同一申请人在前代产品基础上进行植入式心脏起搏器的改进或更新，对于前代产品已验证的内容无需开展动物试验，必要时申请人仅针对改进或更新</w:t>
      </w:r>
      <w:r>
        <w:rPr>
          <w:rFonts w:eastAsia="仿宋_GB2312"/>
          <w:sz w:val="32"/>
          <w:szCs w:val="32"/>
        </w:rPr>
        <w:lastRenderedPageBreak/>
        <w:t>部分开展相应的动物试验。</w:t>
      </w:r>
    </w:p>
    <w:p w14:paraId="24C27755"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患者在植入心脏起搏器后一般不能进行核磁共振检查（</w:t>
      </w:r>
      <w:r>
        <w:rPr>
          <w:rFonts w:eastAsia="仿宋_GB2312"/>
          <w:sz w:val="32"/>
          <w:szCs w:val="32"/>
        </w:rPr>
        <w:t>MRI</w:t>
      </w:r>
      <w:r>
        <w:rPr>
          <w:rFonts w:eastAsia="仿宋_GB2312"/>
          <w:sz w:val="32"/>
          <w:szCs w:val="32"/>
        </w:rPr>
        <w:t>），如果申请人设计开发了</w:t>
      </w:r>
      <w:r>
        <w:rPr>
          <w:rFonts w:eastAsia="仿宋_GB2312"/>
          <w:sz w:val="32"/>
          <w:szCs w:val="32"/>
        </w:rPr>
        <w:t>MRI</w:t>
      </w:r>
      <w:r>
        <w:rPr>
          <w:rFonts w:eastAsia="仿宋_GB2312"/>
          <w:sz w:val="32"/>
          <w:szCs w:val="32"/>
        </w:rPr>
        <w:t>兼容的植入式心脏起搏器，需要评估</w:t>
      </w:r>
      <w:r>
        <w:rPr>
          <w:rFonts w:eastAsia="仿宋_GB2312"/>
          <w:sz w:val="32"/>
          <w:szCs w:val="32"/>
        </w:rPr>
        <w:t>MRI</w:t>
      </w:r>
      <w:r>
        <w:rPr>
          <w:rFonts w:eastAsia="仿宋_GB2312"/>
          <w:sz w:val="32"/>
          <w:szCs w:val="32"/>
        </w:rPr>
        <w:t>环境对产品安全性及有效性带来的影响，进行</w:t>
      </w:r>
      <w:r>
        <w:rPr>
          <w:rFonts w:eastAsia="仿宋_GB2312"/>
          <w:sz w:val="32"/>
          <w:szCs w:val="32"/>
        </w:rPr>
        <w:t>MRI</w:t>
      </w:r>
      <w:r>
        <w:rPr>
          <w:rFonts w:eastAsia="仿宋_GB2312"/>
          <w:sz w:val="32"/>
          <w:szCs w:val="32"/>
        </w:rPr>
        <w:t>兼容性相关研究。</w:t>
      </w:r>
      <w:r>
        <w:rPr>
          <w:rFonts w:eastAsia="仿宋_GB2312"/>
          <w:sz w:val="32"/>
          <w:szCs w:val="32"/>
        </w:rPr>
        <w:t>MRI</w:t>
      </w:r>
      <w:r>
        <w:rPr>
          <w:rFonts w:eastAsia="仿宋_GB2312"/>
          <w:sz w:val="32"/>
          <w:szCs w:val="32"/>
        </w:rPr>
        <w:t>兼容性研究通常需要应用动物进行计算机建模验证</w:t>
      </w:r>
      <w:r>
        <w:rPr>
          <w:rFonts w:eastAsia="仿宋_GB2312"/>
          <w:sz w:val="32"/>
          <w:szCs w:val="32"/>
        </w:rPr>
        <w:t>MRI</w:t>
      </w:r>
      <w:r>
        <w:rPr>
          <w:rFonts w:eastAsia="仿宋_GB2312"/>
          <w:sz w:val="32"/>
          <w:szCs w:val="32"/>
        </w:rPr>
        <w:t>兼容的安全性与有效性，当验证过计算机建模的准确性后，对于同一申请人其</w:t>
      </w:r>
      <w:r>
        <w:rPr>
          <w:rFonts w:eastAsia="仿宋_GB2312" w:hint="eastAsia"/>
          <w:sz w:val="32"/>
          <w:szCs w:val="32"/>
        </w:rPr>
        <w:t>他</w:t>
      </w:r>
      <w:r>
        <w:rPr>
          <w:rFonts w:eastAsia="仿宋_GB2312"/>
          <w:sz w:val="32"/>
          <w:szCs w:val="32"/>
        </w:rPr>
        <w:t>植入式心脏起搏器产品的</w:t>
      </w:r>
      <w:r>
        <w:rPr>
          <w:rFonts w:eastAsia="仿宋_GB2312"/>
          <w:sz w:val="32"/>
          <w:szCs w:val="32"/>
        </w:rPr>
        <w:t>MRI</w:t>
      </w:r>
      <w:r>
        <w:rPr>
          <w:rFonts w:eastAsia="仿宋_GB2312"/>
          <w:sz w:val="32"/>
          <w:szCs w:val="32"/>
        </w:rPr>
        <w:t>兼容性研究，可以不再重复进行动物试验。</w:t>
      </w:r>
    </w:p>
    <w:p w14:paraId="5368C2E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无导线起搏器与传统的植入式心脏起搏器相比，采用了新的结构设计、手术操作方法，不需要植入传统的植入式心脏电极导线，申请人</w:t>
      </w:r>
      <w:proofErr w:type="gramStart"/>
      <w:r>
        <w:rPr>
          <w:rFonts w:eastAsia="仿宋_GB2312"/>
          <w:sz w:val="32"/>
          <w:szCs w:val="32"/>
        </w:rPr>
        <w:t>宜针对</w:t>
      </w:r>
      <w:proofErr w:type="gramEnd"/>
      <w:r>
        <w:rPr>
          <w:rFonts w:eastAsia="仿宋_GB2312"/>
          <w:sz w:val="32"/>
          <w:szCs w:val="32"/>
        </w:rPr>
        <w:t>创新点相关风险进行评估，并对风险控制措施有效性进行验证或确认，申请人宜对无导线起搏器开展动物试验，验证产品安全性、有效性及可行性。</w:t>
      </w:r>
    </w:p>
    <w:p w14:paraId="75092B1F"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（八）药物洗脱支架</w:t>
      </w:r>
    </w:p>
    <w:p w14:paraId="7BC827FD"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尽管药物洗脱支架产品所含药物如紫杉醇、</w:t>
      </w:r>
      <w:proofErr w:type="gramStart"/>
      <w:r>
        <w:rPr>
          <w:rFonts w:eastAsia="仿宋_GB2312"/>
          <w:sz w:val="32"/>
          <w:szCs w:val="32"/>
        </w:rPr>
        <w:t>雷帕霉素</w:t>
      </w:r>
      <w:proofErr w:type="gramEnd"/>
      <w:r>
        <w:rPr>
          <w:rFonts w:eastAsia="仿宋_GB2312"/>
          <w:sz w:val="32"/>
          <w:szCs w:val="32"/>
        </w:rPr>
        <w:t>已作为药品具有较长的临床应用历史，但在器械中应用与其单独作为药品应用时具有较大差异，例如药物洗脱支架植入后，靶血管壁中的局部组织药物浓度会远远高于药品系统使用后的血药浓度，单纯作为药品使用的</w:t>
      </w:r>
      <w:proofErr w:type="gramStart"/>
      <w:r>
        <w:rPr>
          <w:rFonts w:eastAsia="仿宋_GB2312"/>
          <w:sz w:val="32"/>
          <w:szCs w:val="32"/>
        </w:rPr>
        <w:t>药代及毒理学</w:t>
      </w:r>
      <w:proofErr w:type="gramEnd"/>
      <w:r>
        <w:rPr>
          <w:rFonts w:eastAsia="仿宋_GB2312"/>
          <w:sz w:val="32"/>
          <w:szCs w:val="32"/>
        </w:rPr>
        <w:t>研究资料并不足以支持其安全性，宜进一步通过动物试验开展靶血管、远端心肌等局部组织的毒理学安全性研究，获取必要的组织病理学数据等。对于两个含有相同药物的药物洗脱支架，若支架药物载体材料不同，临床应用时同样存在较大差异，例如药物成分从不同载体材料中释放、</w:t>
      </w:r>
      <w:r>
        <w:rPr>
          <w:rFonts w:eastAsia="仿宋_GB2312"/>
          <w:sz w:val="32"/>
          <w:szCs w:val="32"/>
        </w:rPr>
        <w:lastRenderedPageBreak/>
        <w:t>吸收的速率不同，宜通过动物试验研究结合已有的文献数据资料来确认药物剂量密度及安全范围。</w:t>
      </w:r>
    </w:p>
    <w:p w14:paraId="48B30C1F"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对于涂有可降解涂层的药物洗脱支架产品，其降解性能是载体聚合物材料筛选中一项重要因素。通过动物试验在</w:t>
      </w:r>
      <w:proofErr w:type="gramStart"/>
      <w:r>
        <w:rPr>
          <w:rFonts w:eastAsia="仿宋_GB2312"/>
          <w:sz w:val="32"/>
          <w:szCs w:val="32"/>
        </w:rPr>
        <w:t>体研究</w:t>
      </w:r>
      <w:proofErr w:type="gramEnd"/>
      <w:r>
        <w:rPr>
          <w:rFonts w:eastAsia="仿宋_GB2312"/>
          <w:sz w:val="32"/>
          <w:szCs w:val="32"/>
        </w:rPr>
        <w:t>药物洗脱支架涂层的降解性能十分必要，但如果载体聚合物（例如聚乳酸</w:t>
      </w:r>
      <w:r>
        <w:rPr>
          <w:rFonts w:eastAsia="仿宋_GB2312"/>
          <w:sz w:val="32"/>
          <w:szCs w:val="32"/>
        </w:rPr>
        <w:t>-</w:t>
      </w:r>
      <w:r>
        <w:rPr>
          <w:rFonts w:eastAsia="仿宋_GB2312"/>
          <w:sz w:val="32"/>
          <w:szCs w:val="32"/>
        </w:rPr>
        <w:t>羟基乙酸共聚物，</w:t>
      </w:r>
      <w:r>
        <w:rPr>
          <w:rFonts w:eastAsia="仿宋_GB2312"/>
          <w:sz w:val="32"/>
          <w:szCs w:val="32"/>
        </w:rPr>
        <w:t>PLGA</w:t>
      </w:r>
      <w:r>
        <w:rPr>
          <w:rFonts w:eastAsia="仿宋_GB2312"/>
          <w:sz w:val="32"/>
          <w:szCs w:val="32"/>
        </w:rPr>
        <w:t>）的降解性能，可通过同类产品信息、文献数据信息、材料数据库信息、监管机构备案信息等获得支持，申请人无需对申报产品重新开展降解性能的动物试验。</w:t>
      </w:r>
    </w:p>
    <w:p w14:paraId="17E4DACE"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（九）骨内固定用可降解金属螺钉</w:t>
      </w:r>
    </w:p>
    <w:p w14:paraId="41AAC6A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骨内固定用可降解金属螺钉，该类产品在骨愈合初期提供初始的稳定固定，</w:t>
      </w:r>
      <w:proofErr w:type="gramStart"/>
      <w:r>
        <w:rPr>
          <w:rFonts w:eastAsia="仿宋_GB2312"/>
          <w:sz w:val="32"/>
          <w:szCs w:val="32"/>
        </w:rPr>
        <w:t>待骨愈合</w:t>
      </w:r>
      <w:proofErr w:type="gramEnd"/>
      <w:r>
        <w:rPr>
          <w:rFonts w:eastAsia="仿宋_GB2312"/>
          <w:sz w:val="32"/>
          <w:szCs w:val="32"/>
        </w:rPr>
        <w:t>后逐渐降解，避免二次手术取出。</w:t>
      </w:r>
      <w:r>
        <w:rPr>
          <w:rFonts w:eastAsia="仿宋_GB2312"/>
          <w:sz w:val="32"/>
          <w:szCs w:val="32"/>
        </w:rPr>
        <w:t xml:space="preserve"> </w:t>
      </w:r>
    </w:p>
    <w:p w14:paraId="4F931EBA"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该类产品主要风险包括降解周期与骨愈合周期不匹配造成内固定过早失效，以及降解产物对机体组织和器官带来的安全性问题等。对于该类产品，仅仅依靠常规的实验室研究并不能验证失效风险相关控制措施的有效性，需要通过适宜的动物模型的相应部位制备骨折或骨缺损模型，评价可降解金属产品在适宜的动物体内的降解性能和产品的安全性及有效性。具体试验项目可包含</w:t>
      </w:r>
      <w:r>
        <w:rPr>
          <w:rFonts w:eastAsia="仿宋_GB2312"/>
          <w:sz w:val="32"/>
          <w:szCs w:val="32"/>
        </w:rPr>
        <w:t>X</w:t>
      </w:r>
      <w:r>
        <w:rPr>
          <w:rFonts w:eastAsia="仿宋_GB2312"/>
          <w:sz w:val="32"/>
          <w:szCs w:val="32"/>
        </w:rPr>
        <w:t>光评价、血液中元素分析、组织病理分析、</w:t>
      </w:r>
      <w:r>
        <w:rPr>
          <w:rFonts w:eastAsia="仿宋_GB2312"/>
          <w:sz w:val="32"/>
          <w:szCs w:val="32"/>
        </w:rPr>
        <w:t>micro-CT</w:t>
      </w:r>
      <w:r>
        <w:rPr>
          <w:rFonts w:eastAsia="仿宋_GB2312"/>
          <w:sz w:val="32"/>
          <w:szCs w:val="32"/>
        </w:rPr>
        <w:t>分析、植入生物力学评价、周围骨组织分析等。</w:t>
      </w:r>
    </w:p>
    <w:p w14:paraId="5A0E924C"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（十）吻合器</w:t>
      </w:r>
    </w:p>
    <w:p w14:paraId="7C0F477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吻合器主要用于组织</w:t>
      </w:r>
      <w:r>
        <w:rPr>
          <w:rFonts w:eastAsia="仿宋_GB2312"/>
          <w:sz w:val="32"/>
          <w:szCs w:val="32"/>
        </w:rPr>
        <w:t>/</w:t>
      </w:r>
      <w:r>
        <w:rPr>
          <w:rFonts w:eastAsia="仿宋_GB2312"/>
          <w:sz w:val="32"/>
          <w:szCs w:val="32"/>
        </w:rPr>
        <w:t>脏器的切除、闭合。</w:t>
      </w:r>
    </w:p>
    <w:p w14:paraId="7134D87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用于实质脏器或血管切割</w:t>
      </w:r>
      <w:r>
        <w:rPr>
          <w:rFonts w:eastAsia="仿宋_GB2312"/>
          <w:sz w:val="32"/>
          <w:szCs w:val="32"/>
        </w:rPr>
        <w:t>/</w:t>
      </w:r>
      <w:r>
        <w:rPr>
          <w:rFonts w:eastAsia="仿宋_GB2312"/>
          <w:sz w:val="32"/>
          <w:szCs w:val="32"/>
        </w:rPr>
        <w:t>吻合的吻合器类产品，因常规的实验室研究并不能充分验证吻合器用于人体的操作性能和吻合</w:t>
      </w:r>
      <w:r>
        <w:rPr>
          <w:rFonts w:eastAsia="仿宋_GB2312"/>
          <w:sz w:val="32"/>
          <w:szCs w:val="32"/>
        </w:rPr>
        <w:lastRenderedPageBreak/>
        <w:t>性能，</w:t>
      </w:r>
      <w:proofErr w:type="gramStart"/>
      <w:r>
        <w:rPr>
          <w:rFonts w:eastAsia="仿宋_GB2312"/>
          <w:sz w:val="32"/>
          <w:szCs w:val="32"/>
        </w:rPr>
        <w:t>宜开展</w:t>
      </w:r>
      <w:proofErr w:type="gramEnd"/>
      <w:r>
        <w:rPr>
          <w:rFonts w:eastAsia="仿宋_GB2312"/>
          <w:sz w:val="32"/>
          <w:szCs w:val="32"/>
        </w:rPr>
        <w:t>动物试验。</w:t>
      </w:r>
    </w:p>
    <w:p w14:paraId="13608D5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对于采用了新材料的肠道或皮肤吻合器类产品，若产品性能、吻合钉材质等与已上市产品存在差异性，仅依靠常规的实验室研究和现有数据不足以评价产品安全性和有效性，</w:t>
      </w:r>
      <w:proofErr w:type="gramStart"/>
      <w:r>
        <w:rPr>
          <w:rFonts w:eastAsia="仿宋_GB2312"/>
          <w:sz w:val="32"/>
          <w:szCs w:val="32"/>
        </w:rPr>
        <w:t>宜开展</w:t>
      </w:r>
      <w:proofErr w:type="gramEnd"/>
      <w:r>
        <w:rPr>
          <w:rFonts w:eastAsia="仿宋_GB2312"/>
          <w:sz w:val="32"/>
          <w:szCs w:val="32"/>
        </w:rPr>
        <w:t>动物试验。另外，通过动物试验可确定产品临床相关参数（如组织厚度等），预测产品在人体中使用时可能出现的安全性问题。</w:t>
      </w:r>
    </w:p>
    <w:p w14:paraId="7A1A38A9" w14:textId="77777777" w:rsidR="007D5E56" w:rsidRDefault="00E513F6">
      <w:pPr>
        <w:overflowPunct w:val="0"/>
        <w:spacing w:line="560" w:lineRule="exact"/>
        <w:ind w:firstLineChars="200" w:firstLine="640"/>
        <w:rPr>
          <w:rFonts w:eastAsia="楷体_GB2312"/>
          <w:color w:val="000000"/>
          <w:sz w:val="32"/>
          <w:szCs w:val="32"/>
        </w:rPr>
      </w:pPr>
      <w:r>
        <w:rPr>
          <w:rFonts w:eastAsia="楷体_GB2312"/>
          <w:color w:val="000000"/>
          <w:sz w:val="32"/>
          <w:szCs w:val="32"/>
        </w:rPr>
        <w:t>（十一）可吸收外科防粘连产品</w:t>
      </w:r>
    </w:p>
    <w:p w14:paraId="5AFC9C3C"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对于可吸收外科防粘连产品，应实现产品预期的防粘连功能。该功能宜在适当的活体动物模型上进行研究。动物试验中宜尽可能</w:t>
      </w:r>
      <w:r>
        <w:rPr>
          <w:rFonts w:eastAsia="仿宋_GB2312" w:hint="eastAsia"/>
          <w:sz w:val="32"/>
          <w:szCs w:val="32"/>
        </w:rPr>
        <w:t>地</w:t>
      </w:r>
      <w:r>
        <w:rPr>
          <w:rFonts w:eastAsia="仿宋_GB2312"/>
          <w:sz w:val="32"/>
          <w:szCs w:val="32"/>
        </w:rPr>
        <w:t>体现手术方法、特定手术部位、粘连的类型、粘连的评价方式，以及拟在临床应用时的产品使用方法，并观察产品是否能有效降低粘连的发生率、广泛程度及严重程度等。另外，通过动物试验也可以更好地为临床研究方案设计提供参考。</w:t>
      </w:r>
    </w:p>
    <w:p w14:paraId="280298EB" w14:textId="77777777" w:rsidR="007D5E56" w:rsidRDefault="00E513F6">
      <w:pPr>
        <w:spacing w:line="560" w:lineRule="exact"/>
        <w:ind w:firstLineChars="200" w:firstLine="640"/>
        <w:rPr>
          <w:rFonts w:eastAsia="黑体"/>
          <w:color w:val="000000"/>
          <w:sz w:val="32"/>
          <w:szCs w:val="32"/>
        </w:rPr>
      </w:pPr>
      <w:r>
        <w:rPr>
          <w:rFonts w:eastAsia="黑体"/>
          <w:color w:val="000000"/>
          <w:sz w:val="32"/>
          <w:szCs w:val="32"/>
        </w:rPr>
        <w:t>四、参考资料</w:t>
      </w:r>
    </w:p>
    <w:p w14:paraId="06B13129"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 General Considerations for Animal Studies for Medical Devices [EB</w:t>
      </w:r>
      <w:proofErr w:type="gramStart"/>
      <w:r>
        <w:rPr>
          <w:rFonts w:eastAsia="仿宋_GB2312"/>
          <w:sz w:val="32"/>
          <w:szCs w:val="32"/>
        </w:rPr>
        <w:t>].</w:t>
      </w:r>
      <w:r>
        <w:rPr>
          <w:rFonts w:eastAsia="仿宋_GB2312"/>
          <w:sz w:val="32"/>
          <w:szCs w:val="32"/>
        </w:rPr>
        <w:t>（</w:t>
      </w:r>
      <w:proofErr w:type="gramEnd"/>
      <w:r>
        <w:rPr>
          <w:rFonts w:eastAsia="仿宋_GB2312"/>
          <w:sz w:val="32"/>
          <w:szCs w:val="32"/>
        </w:rPr>
        <w:t>Draft Guidance</w:t>
      </w:r>
      <w:r>
        <w:rPr>
          <w:rFonts w:eastAsia="仿宋_GB2312"/>
          <w:sz w:val="32"/>
          <w:szCs w:val="32"/>
        </w:rPr>
        <w:t>）</w:t>
      </w:r>
    </w:p>
    <w:p w14:paraId="56B7B7CD"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 xml:space="preserve">[2] EFS Guidance: </w:t>
      </w:r>
      <w:hyperlink r:id="rId7" w:history="1">
        <w:r>
          <w:rPr>
            <w:rFonts w:eastAsia="仿宋_GB2312"/>
            <w:sz w:val="32"/>
            <w:szCs w:val="32"/>
          </w:rPr>
          <w:t xml:space="preserve">Investigational Device Exemptions </w:t>
        </w:r>
        <w:r>
          <w:rPr>
            <w:rFonts w:eastAsia="仿宋_GB2312"/>
            <w:sz w:val="32"/>
            <w:szCs w:val="32"/>
          </w:rPr>
          <w:t>（</w:t>
        </w:r>
        <w:r>
          <w:rPr>
            <w:rFonts w:eastAsia="仿宋_GB2312"/>
            <w:sz w:val="32"/>
            <w:szCs w:val="32"/>
          </w:rPr>
          <w:t>IDEs</w:t>
        </w:r>
        <w:r>
          <w:rPr>
            <w:rFonts w:eastAsia="仿宋_GB2312"/>
            <w:sz w:val="32"/>
            <w:szCs w:val="32"/>
          </w:rPr>
          <w:t>）</w:t>
        </w:r>
        <w:r>
          <w:rPr>
            <w:rFonts w:eastAsia="仿宋_GB2312"/>
            <w:sz w:val="32"/>
            <w:szCs w:val="32"/>
          </w:rPr>
          <w:t xml:space="preserve"> for Early Feasibility Medical Device Clinical studies, Including Certain First in Human </w:t>
        </w:r>
        <w:r>
          <w:rPr>
            <w:rFonts w:eastAsia="仿宋_GB2312"/>
            <w:sz w:val="32"/>
            <w:szCs w:val="32"/>
          </w:rPr>
          <w:t>（</w:t>
        </w:r>
        <w:r>
          <w:rPr>
            <w:rFonts w:eastAsia="仿宋_GB2312"/>
            <w:sz w:val="32"/>
            <w:szCs w:val="32"/>
          </w:rPr>
          <w:t>FIH</w:t>
        </w:r>
        <w:r>
          <w:rPr>
            <w:rFonts w:eastAsia="仿宋_GB2312"/>
            <w:sz w:val="32"/>
            <w:szCs w:val="32"/>
          </w:rPr>
          <w:t>）</w:t>
        </w:r>
        <w:r>
          <w:rPr>
            <w:rFonts w:eastAsia="仿宋_GB2312"/>
            <w:sz w:val="32"/>
            <w:szCs w:val="32"/>
          </w:rPr>
          <w:t xml:space="preserve"> Studies</w:t>
        </w:r>
      </w:hyperlink>
      <w:r>
        <w:rPr>
          <w:rFonts w:eastAsia="仿宋_GB2312"/>
          <w:sz w:val="32"/>
          <w:szCs w:val="32"/>
        </w:rPr>
        <w:t>[EB].</w:t>
      </w:r>
    </w:p>
    <w:p w14:paraId="61131F5E"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[3] Recommended Content and Format of Test Reports for Complete Non-Clinical Bench Performance Testing in Premarket Submissions [EB</w:t>
      </w:r>
      <w:proofErr w:type="gramStart"/>
      <w:r>
        <w:rPr>
          <w:rFonts w:eastAsia="仿宋_GB2312"/>
          <w:sz w:val="32"/>
          <w:szCs w:val="32"/>
        </w:rPr>
        <w:t>].</w:t>
      </w:r>
      <w:r>
        <w:rPr>
          <w:rFonts w:eastAsia="仿宋_GB2312"/>
          <w:sz w:val="32"/>
          <w:szCs w:val="32"/>
        </w:rPr>
        <w:t>（</w:t>
      </w:r>
      <w:proofErr w:type="gramEnd"/>
      <w:r>
        <w:rPr>
          <w:rFonts w:eastAsia="仿宋_GB2312"/>
          <w:sz w:val="32"/>
          <w:szCs w:val="32"/>
        </w:rPr>
        <w:t>Draft Guidance</w:t>
      </w:r>
      <w:r>
        <w:rPr>
          <w:rFonts w:eastAsia="仿宋_GB2312"/>
          <w:sz w:val="32"/>
          <w:szCs w:val="32"/>
        </w:rPr>
        <w:t>）</w:t>
      </w:r>
    </w:p>
    <w:p w14:paraId="35A74891"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 xml:space="preserve"> </w:t>
      </w:r>
      <w:r>
        <w:rPr>
          <w:rFonts w:eastAsia="仿宋_GB2312" w:hint="eastAsia"/>
          <w:sz w:val="32"/>
          <w:szCs w:val="32"/>
        </w:rPr>
        <w:t>《</w:t>
      </w:r>
      <w:r>
        <w:rPr>
          <w:rFonts w:eastAsia="仿宋_GB2312"/>
          <w:sz w:val="32"/>
          <w:szCs w:val="32"/>
        </w:rPr>
        <w:t>超声软组织切割止血系统技术审查指导原则</w:t>
      </w:r>
      <w:r>
        <w:rPr>
          <w:rFonts w:eastAsia="仿宋_GB2312" w:hint="eastAsia"/>
          <w:sz w:val="32"/>
          <w:szCs w:val="32"/>
        </w:rPr>
        <w:t>》</w:t>
      </w:r>
      <w:r>
        <w:rPr>
          <w:rFonts w:eastAsia="仿宋_GB2312"/>
          <w:sz w:val="32"/>
          <w:szCs w:val="32"/>
        </w:rPr>
        <w:t>（</w:t>
      </w:r>
      <w:r>
        <w:rPr>
          <w:rFonts w:eastAsia="仿宋_GB2312"/>
          <w:sz w:val="32"/>
          <w:szCs w:val="32"/>
        </w:rPr>
        <w:t>2018</w:t>
      </w:r>
      <w:r>
        <w:rPr>
          <w:rFonts w:eastAsia="仿宋_GB2312"/>
          <w:sz w:val="32"/>
          <w:szCs w:val="32"/>
        </w:rPr>
        <w:t>年</w:t>
      </w:r>
      <w:r>
        <w:rPr>
          <w:rFonts w:eastAsia="仿宋_GB2312"/>
          <w:sz w:val="32"/>
          <w:szCs w:val="32"/>
        </w:rPr>
        <w:lastRenderedPageBreak/>
        <w:t>第</w:t>
      </w:r>
      <w:r>
        <w:rPr>
          <w:rFonts w:eastAsia="仿宋_GB2312"/>
          <w:sz w:val="32"/>
          <w:szCs w:val="32"/>
        </w:rPr>
        <w:t>37</w:t>
      </w:r>
      <w:r>
        <w:rPr>
          <w:rFonts w:eastAsia="仿宋_GB2312"/>
          <w:sz w:val="32"/>
          <w:szCs w:val="32"/>
        </w:rPr>
        <w:t>号</w:t>
      </w:r>
      <w:r>
        <w:rPr>
          <w:rFonts w:eastAsia="仿宋_GB2312" w:hint="eastAsia"/>
          <w:sz w:val="32"/>
          <w:szCs w:val="32"/>
        </w:rPr>
        <w:t>通告</w:t>
      </w:r>
      <w:r>
        <w:rPr>
          <w:rFonts w:eastAsia="仿宋_GB2312"/>
          <w:sz w:val="32"/>
          <w:szCs w:val="32"/>
        </w:rPr>
        <w:t>）</w:t>
      </w:r>
    </w:p>
    <w:p w14:paraId="6D97C055"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 xml:space="preserve"> </w:t>
      </w:r>
      <w:r>
        <w:rPr>
          <w:rFonts w:eastAsia="仿宋_GB2312" w:hint="eastAsia"/>
          <w:sz w:val="32"/>
          <w:szCs w:val="32"/>
        </w:rPr>
        <w:t>《</w:t>
      </w:r>
      <w:r>
        <w:rPr>
          <w:rFonts w:eastAsia="仿宋_GB2312"/>
          <w:sz w:val="32"/>
          <w:szCs w:val="32"/>
        </w:rPr>
        <w:t>腔镜用吻合器产品注册技术审查指导原则</w:t>
      </w:r>
      <w:r>
        <w:rPr>
          <w:rFonts w:eastAsia="仿宋_GB2312" w:hint="eastAsia"/>
          <w:sz w:val="32"/>
          <w:szCs w:val="32"/>
        </w:rPr>
        <w:t>》</w:t>
      </w:r>
      <w:r>
        <w:rPr>
          <w:rFonts w:eastAsia="仿宋_GB2312"/>
          <w:sz w:val="32"/>
          <w:szCs w:val="32"/>
        </w:rPr>
        <w:t>（</w:t>
      </w:r>
      <w:r>
        <w:rPr>
          <w:rFonts w:eastAsia="仿宋_GB2312"/>
          <w:sz w:val="32"/>
          <w:szCs w:val="32"/>
        </w:rPr>
        <w:t>2017</w:t>
      </w:r>
      <w:r>
        <w:rPr>
          <w:rFonts w:eastAsia="仿宋_GB2312"/>
          <w:sz w:val="32"/>
          <w:szCs w:val="32"/>
        </w:rPr>
        <w:t>年第</w:t>
      </w:r>
      <w:r>
        <w:rPr>
          <w:rFonts w:eastAsia="仿宋_GB2312"/>
          <w:sz w:val="32"/>
          <w:szCs w:val="32"/>
        </w:rPr>
        <w:t>44</w:t>
      </w:r>
      <w:r>
        <w:rPr>
          <w:rFonts w:eastAsia="仿宋_GB2312"/>
          <w:sz w:val="32"/>
          <w:szCs w:val="32"/>
        </w:rPr>
        <w:t>号</w:t>
      </w:r>
      <w:r>
        <w:rPr>
          <w:rFonts w:eastAsia="仿宋_GB2312" w:hint="eastAsia"/>
          <w:sz w:val="32"/>
          <w:szCs w:val="32"/>
        </w:rPr>
        <w:t>通告</w:t>
      </w:r>
      <w:r>
        <w:rPr>
          <w:rFonts w:eastAsia="仿宋_GB2312"/>
          <w:sz w:val="32"/>
          <w:szCs w:val="32"/>
        </w:rPr>
        <w:t>）</w:t>
      </w:r>
    </w:p>
    <w:p w14:paraId="71BA7F07"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[6]</w:t>
      </w:r>
      <w:r>
        <w:rPr>
          <w:rFonts w:eastAsia="仿宋_GB2312" w:hint="eastAsia"/>
          <w:sz w:val="32"/>
          <w:szCs w:val="32"/>
        </w:rPr>
        <w:t xml:space="preserve"> </w:t>
      </w:r>
      <w:r>
        <w:rPr>
          <w:rFonts w:eastAsia="仿宋_GB2312" w:hint="eastAsia"/>
          <w:sz w:val="32"/>
          <w:szCs w:val="32"/>
        </w:rPr>
        <w:t>《</w:t>
      </w:r>
      <w:r>
        <w:rPr>
          <w:rFonts w:eastAsia="仿宋_GB2312"/>
          <w:sz w:val="32"/>
          <w:szCs w:val="32"/>
        </w:rPr>
        <w:t>腹腔、盆腔外科手术用可吸收防粘连产品注册技术审查指导原则</w:t>
      </w:r>
      <w:r>
        <w:rPr>
          <w:rFonts w:eastAsia="仿宋_GB2312" w:hint="eastAsia"/>
          <w:sz w:val="32"/>
          <w:szCs w:val="32"/>
        </w:rPr>
        <w:t>》</w:t>
      </w:r>
      <w:r>
        <w:rPr>
          <w:rFonts w:eastAsia="仿宋_GB2312"/>
          <w:sz w:val="32"/>
          <w:szCs w:val="32"/>
        </w:rPr>
        <w:t>（</w:t>
      </w:r>
      <w:r>
        <w:rPr>
          <w:rFonts w:eastAsia="仿宋_GB2312"/>
          <w:sz w:val="32"/>
          <w:szCs w:val="32"/>
        </w:rPr>
        <w:t>2016</w:t>
      </w:r>
      <w:r>
        <w:rPr>
          <w:rFonts w:eastAsia="仿宋_GB2312"/>
          <w:sz w:val="32"/>
          <w:szCs w:val="32"/>
        </w:rPr>
        <w:t>年第</w:t>
      </w:r>
      <w:r>
        <w:rPr>
          <w:rFonts w:eastAsia="仿宋_GB2312"/>
          <w:sz w:val="32"/>
          <w:szCs w:val="32"/>
        </w:rPr>
        <w:t>7</w:t>
      </w:r>
      <w:r>
        <w:rPr>
          <w:rFonts w:eastAsia="仿宋_GB2312"/>
          <w:sz w:val="32"/>
          <w:szCs w:val="32"/>
        </w:rPr>
        <w:t>号</w:t>
      </w:r>
      <w:r>
        <w:rPr>
          <w:rFonts w:eastAsia="仿宋_GB2312" w:hint="eastAsia"/>
          <w:sz w:val="32"/>
          <w:szCs w:val="32"/>
        </w:rPr>
        <w:t>通告</w:t>
      </w:r>
      <w:r>
        <w:rPr>
          <w:rFonts w:eastAsia="仿宋_GB2312"/>
          <w:sz w:val="32"/>
          <w:szCs w:val="32"/>
        </w:rPr>
        <w:t>）</w:t>
      </w:r>
    </w:p>
    <w:p w14:paraId="1AA81D04"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 xml:space="preserve">[7] </w:t>
      </w:r>
      <w:r>
        <w:rPr>
          <w:rFonts w:eastAsia="仿宋_GB2312" w:hint="eastAsia"/>
          <w:sz w:val="32"/>
          <w:szCs w:val="32"/>
        </w:rPr>
        <w:t>《</w:t>
      </w:r>
      <w:r>
        <w:rPr>
          <w:rFonts w:eastAsia="仿宋_GB2312"/>
          <w:sz w:val="32"/>
          <w:szCs w:val="32"/>
        </w:rPr>
        <w:t>冠状动脉药物洗脱支架临床前研究指导原则</w:t>
      </w:r>
      <w:r>
        <w:rPr>
          <w:rFonts w:eastAsia="仿宋_GB2312" w:hint="eastAsia"/>
          <w:sz w:val="32"/>
          <w:szCs w:val="32"/>
        </w:rPr>
        <w:t>》</w:t>
      </w:r>
      <w:r>
        <w:rPr>
          <w:rFonts w:eastAsia="仿宋_GB2312"/>
          <w:sz w:val="32"/>
          <w:szCs w:val="32"/>
        </w:rPr>
        <w:t>（</w:t>
      </w:r>
      <w:hyperlink r:id="rId8" w:history="1">
        <w:r>
          <w:rPr>
            <w:rFonts w:eastAsia="仿宋_GB2312"/>
            <w:sz w:val="32"/>
            <w:szCs w:val="32"/>
          </w:rPr>
          <w:t>2018</w:t>
        </w:r>
        <w:r>
          <w:rPr>
            <w:rFonts w:eastAsia="仿宋_GB2312"/>
            <w:sz w:val="32"/>
            <w:szCs w:val="32"/>
          </w:rPr>
          <w:t>年第</w:t>
        </w:r>
        <w:r>
          <w:rPr>
            <w:rFonts w:eastAsia="仿宋_GB2312"/>
            <w:sz w:val="32"/>
            <w:szCs w:val="32"/>
          </w:rPr>
          <w:t>21</w:t>
        </w:r>
        <w:r>
          <w:rPr>
            <w:rFonts w:eastAsia="仿宋_GB2312"/>
            <w:sz w:val="32"/>
            <w:szCs w:val="32"/>
          </w:rPr>
          <w:t>号</w:t>
        </w:r>
      </w:hyperlink>
      <w:r>
        <w:rPr>
          <w:rFonts w:eastAsia="仿宋_GB2312" w:hint="eastAsia"/>
          <w:sz w:val="32"/>
          <w:szCs w:val="32"/>
        </w:rPr>
        <w:t>通告</w:t>
      </w:r>
      <w:r>
        <w:rPr>
          <w:rFonts w:eastAsia="仿宋_GB2312"/>
          <w:sz w:val="32"/>
          <w:szCs w:val="32"/>
        </w:rPr>
        <w:t>）</w:t>
      </w:r>
    </w:p>
    <w:p w14:paraId="3E6DE477"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[8]</w:t>
      </w:r>
      <w:r>
        <w:rPr>
          <w:rFonts w:eastAsia="仿宋_GB2312" w:hint="eastAsia"/>
          <w:sz w:val="32"/>
          <w:szCs w:val="32"/>
        </w:rPr>
        <w:t xml:space="preserve"> </w:t>
      </w:r>
      <w:r>
        <w:rPr>
          <w:rFonts w:eastAsia="仿宋_GB2312" w:hint="eastAsia"/>
          <w:sz w:val="32"/>
          <w:szCs w:val="32"/>
        </w:rPr>
        <w:t>《</w:t>
      </w:r>
      <w:r>
        <w:rPr>
          <w:rFonts w:eastAsia="仿宋_GB2312"/>
          <w:sz w:val="32"/>
          <w:szCs w:val="32"/>
        </w:rPr>
        <w:t>体外除颤产品注册技术指导原则</w:t>
      </w:r>
      <w:r>
        <w:rPr>
          <w:rFonts w:eastAsia="仿宋_GB2312" w:hint="eastAsia"/>
          <w:sz w:val="32"/>
          <w:szCs w:val="32"/>
        </w:rPr>
        <w:t>》</w:t>
      </w:r>
      <w:r>
        <w:rPr>
          <w:rFonts w:eastAsia="仿宋_GB2312"/>
          <w:sz w:val="32"/>
          <w:szCs w:val="32"/>
        </w:rPr>
        <w:t>（</w:t>
      </w:r>
      <w:r>
        <w:rPr>
          <w:rFonts w:eastAsia="仿宋_GB2312"/>
          <w:sz w:val="32"/>
          <w:szCs w:val="32"/>
        </w:rPr>
        <w:t>2017</w:t>
      </w:r>
      <w:r>
        <w:rPr>
          <w:rFonts w:eastAsia="仿宋_GB2312"/>
          <w:sz w:val="32"/>
          <w:szCs w:val="32"/>
        </w:rPr>
        <w:t>年第</w:t>
      </w:r>
      <w:r>
        <w:rPr>
          <w:rFonts w:eastAsia="仿宋_GB2312"/>
          <w:sz w:val="32"/>
          <w:szCs w:val="32"/>
        </w:rPr>
        <w:t>6</w:t>
      </w:r>
      <w:r>
        <w:rPr>
          <w:rFonts w:eastAsia="仿宋_GB2312"/>
          <w:sz w:val="32"/>
          <w:szCs w:val="32"/>
        </w:rPr>
        <w:t>号通告）</w:t>
      </w:r>
    </w:p>
    <w:p w14:paraId="18E2840C"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[9]</w:t>
      </w:r>
      <w:r>
        <w:rPr>
          <w:rFonts w:eastAsia="仿宋_GB2312" w:hint="eastAsia"/>
          <w:sz w:val="32"/>
          <w:szCs w:val="32"/>
        </w:rPr>
        <w:t xml:space="preserve"> </w:t>
      </w:r>
      <w:r>
        <w:rPr>
          <w:rFonts w:eastAsia="仿宋_GB2312" w:hint="eastAsia"/>
          <w:sz w:val="32"/>
          <w:szCs w:val="32"/>
        </w:rPr>
        <w:t>《</w:t>
      </w:r>
      <w:r>
        <w:rPr>
          <w:rFonts w:eastAsia="仿宋_GB2312"/>
          <w:sz w:val="32"/>
          <w:szCs w:val="32"/>
        </w:rPr>
        <w:t>腹腔内置疝修补补片动物实验技术审查指导原则</w:t>
      </w:r>
      <w:r>
        <w:rPr>
          <w:rFonts w:eastAsia="仿宋_GB2312" w:hint="eastAsia"/>
          <w:sz w:val="32"/>
          <w:szCs w:val="32"/>
        </w:rPr>
        <w:t>》（</w:t>
      </w:r>
      <w:r>
        <w:rPr>
          <w:rFonts w:eastAsia="仿宋_GB2312"/>
          <w:sz w:val="32"/>
          <w:szCs w:val="32"/>
        </w:rPr>
        <w:t>201</w:t>
      </w:r>
      <w:r>
        <w:rPr>
          <w:rFonts w:eastAsia="仿宋_GB2312" w:hint="eastAsia"/>
          <w:sz w:val="32"/>
          <w:szCs w:val="32"/>
        </w:rPr>
        <w:t>9</w:t>
      </w:r>
      <w:r>
        <w:rPr>
          <w:rFonts w:eastAsia="仿宋_GB2312" w:hint="eastAsia"/>
          <w:sz w:val="32"/>
          <w:szCs w:val="32"/>
        </w:rPr>
        <w:t>年第</w:t>
      </w:r>
      <w:r>
        <w:rPr>
          <w:rFonts w:eastAsia="仿宋_GB2312" w:hint="eastAsia"/>
          <w:sz w:val="32"/>
          <w:szCs w:val="32"/>
        </w:rPr>
        <w:t>18</w:t>
      </w:r>
      <w:r>
        <w:rPr>
          <w:rFonts w:eastAsia="仿宋_GB2312" w:hint="eastAsia"/>
          <w:sz w:val="32"/>
          <w:szCs w:val="32"/>
        </w:rPr>
        <w:t>号通告）</w:t>
      </w:r>
    </w:p>
    <w:p w14:paraId="44F07988"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[10]</w:t>
      </w:r>
      <w:r>
        <w:rPr>
          <w:rFonts w:eastAsia="仿宋_GB2312" w:hint="eastAsia"/>
          <w:sz w:val="32"/>
          <w:szCs w:val="32"/>
        </w:rPr>
        <w:t xml:space="preserve"> </w:t>
      </w:r>
      <w:r>
        <w:rPr>
          <w:rFonts w:eastAsia="仿宋_GB2312" w:hint="eastAsia"/>
          <w:sz w:val="32"/>
          <w:szCs w:val="32"/>
        </w:rPr>
        <w:t>《</w:t>
      </w:r>
      <w:r>
        <w:rPr>
          <w:rFonts w:eastAsia="仿宋_GB2312"/>
          <w:sz w:val="32"/>
          <w:szCs w:val="32"/>
        </w:rPr>
        <w:t>钙磷</w:t>
      </w:r>
      <w:r>
        <w:rPr>
          <w:rFonts w:eastAsia="仿宋_GB2312"/>
          <w:sz w:val="32"/>
          <w:szCs w:val="32"/>
        </w:rPr>
        <w:t>/</w:t>
      </w:r>
      <w:r>
        <w:rPr>
          <w:rFonts w:eastAsia="仿宋_GB2312"/>
          <w:sz w:val="32"/>
          <w:szCs w:val="32"/>
        </w:rPr>
        <w:t>硅类骨填充材料注册技术审查指导原则</w:t>
      </w:r>
      <w:r>
        <w:rPr>
          <w:rFonts w:eastAsia="仿宋_GB2312" w:hint="eastAsia"/>
          <w:sz w:val="32"/>
          <w:szCs w:val="32"/>
        </w:rPr>
        <w:t>》</w:t>
      </w:r>
      <w:r>
        <w:rPr>
          <w:rFonts w:eastAsia="仿宋_GB2312"/>
          <w:sz w:val="32"/>
          <w:szCs w:val="32"/>
        </w:rPr>
        <w:t>（</w:t>
      </w:r>
      <w:r>
        <w:rPr>
          <w:rFonts w:eastAsia="仿宋_GB2312"/>
          <w:sz w:val="32"/>
          <w:szCs w:val="32"/>
        </w:rPr>
        <w:t>2017</w:t>
      </w:r>
      <w:r>
        <w:rPr>
          <w:rFonts w:eastAsia="仿宋_GB2312"/>
          <w:sz w:val="32"/>
          <w:szCs w:val="32"/>
        </w:rPr>
        <w:t>年第</w:t>
      </w:r>
      <w:r>
        <w:rPr>
          <w:rFonts w:eastAsia="仿宋_GB2312"/>
          <w:sz w:val="32"/>
          <w:szCs w:val="32"/>
        </w:rPr>
        <w:t>14</w:t>
      </w:r>
      <w:r>
        <w:rPr>
          <w:rFonts w:eastAsia="仿宋_GB2312"/>
          <w:sz w:val="32"/>
          <w:szCs w:val="32"/>
        </w:rPr>
        <w:t>号通告）</w:t>
      </w:r>
    </w:p>
    <w:p w14:paraId="58732096"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 xml:space="preserve">[11] </w:t>
      </w:r>
      <w:r>
        <w:rPr>
          <w:rFonts w:eastAsia="仿宋_GB2312" w:hint="eastAsia"/>
          <w:sz w:val="32"/>
          <w:szCs w:val="32"/>
        </w:rPr>
        <w:t>《</w:t>
      </w:r>
      <w:r>
        <w:rPr>
          <w:rFonts w:eastAsia="仿宋_GB2312"/>
          <w:sz w:val="32"/>
          <w:szCs w:val="32"/>
        </w:rPr>
        <w:t>无源植入性医疗器械临床试验审批技术审查指导原则</w:t>
      </w:r>
      <w:r>
        <w:rPr>
          <w:rFonts w:eastAsia="仿宋_GB2312" w:hint="eastAsia"/>
          <w:sz w:val="32"/>
          <w:szCs w:val="32"/>
        </w:rPr>
        <w:t>》</w:t>
      </w:r>
      <w:r>
        <w:rPr>
          <w:rFonts w:eastAsia="仿宋_GB2312"/>
          <w:sz w:val="32"/>
          <w:szCs w:val="32"/>
        </w:rPr>
        <w:t>（</w:t>
      </w:r>
      <w:hyperlink r:id="rId9" w:history="1">
        <w:r>
          <w:rPr>
            <w:rFonts w:eastAsia="仿宋_GB2312"/>
            <w:sz w:val="32"/>
            <w:szCs w:val="32"/>
          </w:rPr>
          <w:t>2018</w:t>
        </w:r>
        <w:r>
          <w:rPr>
            <w:rFonts w:eastAsia="仿宋_GB2312"/>
            <w:sz w:val="32"/>
            <w:szCs w:val="32"/>
          </w:rPr>
          <w:t>年第</w:t>
        </w:r>
        <w:r>
          <w:rPr>
            <w:rFonts w:eastAsia="仿宋_GB2312"/>
            <w:sz w:val="32"/>
            <w:szCs w:val="32"/>
          </w:rPr>
          <w:t>40</w:t>
        </w:r>
        <w:r>
          <w:rPr>
            <w:rFonts w:eastAsia="仿宋_GB2312"/>
            <w:sz w:val="32"/>
            <w:szCs w:val="32"/>
          </w:rPr>
          <w:t>号</w:t>
        </w:r>
      </w:hyperlink>
      <w:r>
        <w:rPr>
          <w:rFonts w:eastAsia="仿宋_GB2312"/>
          <w:sz w:val="32"/>
          <w:szCs w:val="32"/>
        </w:rPr>
        <w:t>通告）</w:t>
      </w:r>
    </w:p>
    <w:p w14:paraId="53B5ED96"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[12] YY/T 0316-2016</w:t>
      </w:r>
      <w:r>
        <w:rPr>
          <w:rFonts w:eastAsia="仿宋_GB2312" w:hint="eastAsia"/>
          <w:sz w:val="32"/>
          <w:szCs w:val="32"/>
        </w:rPr>
        <w:t>《</w:t>
      </w:r>
      <w:r>
        <w:rPr>
          <w:rFonts w:eastAsia="仿宋_GB2312"/>
          <w:sz w:val="32"/>
          <w:szCs w:val="32"/>
        </w:rPr>
        <w:t>医疗器械</w:t>
      </w:r>
      <w:r>
        <w:rPr>
          <w:rFonts w:eastAsia="仿宋_GB2312"/>
          <w:sz w:val="32"/>
          <w:szCs w:val="32"/>
        </w:rPr>
        <w:t xml:space="preserve"> </w:t>
      </w:r>
      <w:r>
        <w:rPr>
          <w:rFonts w:eastAsia="仿宋_GB2312"/>
          <w:sz w:val="32"/>
          <w:szCs w:val="32"/>
        </w:rPr>
        <w:t>风险管理对医疗器械的应用</w:t>
      </w:r>
      <w:r>
        <w:rPr>
          <w:rFonts w:eastAsia="仿宋_GB2312" w:hint="eastAsia"/>
          <w:sz w:val="32"/>
          <w:szCs w:val="32"/>
        </w:rPr>
        <w:t>》</w:t>
      </w:r>
    </w:p>
    <w:p w14:paraId="05687E32"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[13]ISO 14971:2007 Medical devices—Application of risk management to medical devices[S]</w:t>
      </w:r>
      <w:r>
        <w:rPr>
          <w:rFonts w:eastAsia="仿宋_GB2312" w:hint="eastAsia"/>
          <w:sz w:val="32"/>
          <w:szCs w:val="32"/>
        </w:rPr>
        <w:t>.</w:t>
      </w:r>
    </w:p>
    <w:p w14:paraId="14BDEA75"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[14] “Non-Animal Approaches - The Way Forward”, European Commission Scientific Conference summary report, Mark Cronin, March 2017</w:t>
      </w:r>
    </w:p>
    <w:p w14:paraId="54D83703"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 xml:space="preserve">[15] Directive 2010/63/EU of The European Parliament And of The Council on the protection of animals used for scientific </w:t>
      </w:r>
      <w:proofErr w:type="gramStart"/>
      <w:r>
        <w:rPr>
          <w:rFonts w:eastAsia="仿宋_GB2312"/>
          <w:sz w:val="32"/>
          <w:szCs w:val="32"/>
        </w:rPr>
        <w:lastRenderedPageBreak/>
        <w:t>purposes[</w:t>
      </w:r>
      <w:proofErr w:type="gramEnd"/>
      <w:r>
        <w:rPr>
          <w:rFonts w:eastAsia="仿宋_GB2312"/>
          <w:sz w:val="32"/>
          <w:szCs w:val="32"/>
        </w:rPr>
        <w:t>EB]</w:t>
      </w:r>
    </w:p>
    <w:p w14:paraId="05C343E3" w14:textId="77777777" w:rsidR="007D5E56" w:rsidRDefault="00E513F6">
      <w:pPr>
        <w:autoSpaceDE w:val="0"/>
        <w:autoSpaceDN w:val="0"/>
        <w:adjustRightInd w:val="0"/>
        <w:spacing w:line="560" w:lineRule="exact"/>
        <w:ind w:firstLineChars="200" w:firstLine="640"/>
        <w:rPr>
          <w:rFonts w:eastAsia="仿宋_GB2312"/>
          <w:color w:val="000000"/>
          <w:kern w:val="0"/>
          <w:sz w:val="32"/>
          <w:szCs w:val="32"/>
        </w:rPr>
      </w:pPr>
      <w:r>
        <w:rPr>
          <w:rFonts w:eastAsia="黑体"/>
          <w:color w:val="000000"/>
          <w:sz w:val="32"/>
          <w:szCs w:val="32"/>
        </w:rPr>
        <w:t>五、</w:t>
      </w:r>
      <w:r>
        <w:rPr>
          <w:rFonts w:eastAsia="黑体" w:hint="eastAsia"/>
          <w:color w:val="000000"/>
          <w:kern w:val="0"/>
          <w:sz w:val="32"/>
          <w:szCs w:val="32"/>
        </w:rPr>
        <w:t>起草</w:t>
      </w:r>
      <w:r>
        <w:rPr>
          <w:rFonts w:eastAsia="黑体"/>
          <w:color w:val="000000"/>
          <w:kern w:val="0"/>
          <w:sz w:val="32"/>
          <w:szCs w:val="32"/>
        </w:rPr>
        <w:t>单位：</w:t>
      </w:r>
    </w:p>
    <w:p w14:paraId="2F100E1E" w14:textId="77777777" w:rsidR="007D5E56" w:rsidRDefault="00E513F6">
      <w:pPr>
        <w:autoSpaceDE w:val="0"/>
        <w:autoSpaceDN w:val="0"/>
        <w:adjustRightInd w:val="0"/>
        <w:spacing w:line="560" w:lineRule="exact"/>
        <w:ind w:firstLineChars="200" w:firstLine="640"/>
        <w:rPr>
          <w:rFonts w:eastAsia="仿宋_GB2312"/>
          <w:sz w:val="32"/>
          <w:szCs w:val="32"/>
        </w:rPr>
      </w:pPr>
      <w:r>
        <w:rPr>
          <w:rFonts w:eastAsia="仿宋_GB2312"/>
          <w:sz w:val="32"/>
          <w:szCs w:val="32"/>
        </w:rPr>
        <w:t>国家药品监督管理局医疗器械技术审评中心</w:t>
      </w:r>
    </w:p>
    <w:p w14:paraId="15FA66A6" w14:textId="77777777" w:rsidR="007D5E56" w:rsidRDefault="00E513F6">
      <w:pPr>
        <w:widowControl/>
        <w:spacing w:line="580" w:lineRule="exact"/>
        <w:jc w:val="left"/>
        <w:rPr>
          <w:rFonts w:eastAsia="黑体"/>
          <w:color w:val="000000"/>
          <w:sz w:val="32"/>
          <w:szCs w:val="32"/>
        </w:rPr>
      </w:pPr>
      <w:r>
        <w:rPr>
          <w:rFonts w:eastAsia="仿宋_GB2312"/>
          <w:color w:val="000000"/>
          <w:kern w:val="0"/>
          <w:sz w:val="32"/>
          <w:szCs w:val="32"/>
        </w:rPr>
        <w:br w:type="page"/>
      </w:r>
      <w:r>
        <w:rPr>
          <w:rFonts w:eastAsia="黑体"/>
          <w:color w:val="000000"/>
          <w:sz w:val="32"/>
          <w:szCs w:val="32"/>
        </w:rPr>
        <w:lastRenderedPageBreak/>
        <w:t>附页</w:t>
      </w:r>
    </w:p>
    <w:p w14:paraId="4240A84D" w14:textId="77777777" w:rsidR="007D5E56" w:rsidRDefault="007D5E56">
      <w:pPr>
        <w:spacing w:line="600" w:lineRule="exact"/>
        <w:jc w:val="center"/>
        <w:rPr>
          <w:rFonts w:eastAsia="仿宋"/>
          <w:color w:val="000000"/>
          <w:sz w:val="24"/>
          <w:szCs w:val="21"/>
        </w:rPr>
      </w:pPr>
    </w:p>
    <w:p w14:paraId="45855C14" w14:textId="77777777" w:rsidR="007D5E56" w:rsidRDefault="00E513F6">
      <w:pPr>
        <w:spacing w:line="600" w:lineRule="exact"/>
        <w:jc w:val="center"/>
        <w:rPr>
          <w:rFonts w:ascii="黑体" w:eastAsia="黑体" w:hAnsi="黑体" w:cs="黑体"/>
          <w:color w:val="000000"/>
          <w:sz w:val="28"/>
          <w:szCs w:val="28"/>
        </w:rPr>
      </w:pPr>
      <w:r w:rsidRPr="00E86006">
        <w:rPr>
          <w:rFonts w:ascii="黑体" w:eastAsia="黑体" w:hAnsi="黑体" w:cs="黑体" w:hint="eastAsia"/>
          <w:color w:val="000000"/>
          <w:sz w:val="28"/>
          <w:szCs w:val="28"/>
        </w:rPr>
        <w:t>可能开展动物试验的产品举例</w:t>
      </w:r>
    </w:p>
    <w:p w14:paraId="282A3765" w14:textId="77777777" w:rsidR="007D5E56" w:rsidRPr="00E86006" w:rsidRDefault="007D5E56">
      <w:pPr>
        <w:spacing w:line="600" w:lineRule="exact"/>
        <w:jc w:val="center"/>
        <w:rPr>
          <w:rFonts w:ascii="黑体" w:eastAsia="黑体" w:hAnsi="黑体" w:cs="黑体"/>
          <w:color w:val="00000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23"/>
        <w:gridCol w:w="2726"/>
      </w:tblGrid>
      <w:tr w:rsidR="007D5E56" w:rsidRPr="00E86006" w14:paraId="02B1582D" w14:textId="77777777" w:rsidTr="00E86006">
        <w:trPr>
          <w:trHeight w:hRule="exact" w:val="454"/>
          <w:tblHeader/>
          <w:jc w:val="center"/>
        </w:trPr>
        <w:tc>
          <w:tcPr>
            <w:tcW w:w="5523" w:type="dxa"/>
            <w:tcBorders>
              <w:top w:val="single" w:sz="4" w:space="0" w:color="auto"/>
              <w:left w:val="single" w:sz="4" w:space="0" w:color="auto"/>
              <w:bottom w:val="single" w:sz="4" w:space="0" w:color="auto"/>
              <w:right w:val="single" w:sz="4" w:space="0" w:color="auto"/>
            </w:tcBorders>
            <w:vAlign w:val="center"/>
          </w:tcPr>
          <w:p w14:paraId="769BE625" w14:textId="77777777" w:rsidR="007D5E56" w:rsidRPr="00E86006" w:rsidRDefault="00E513F6" w:rsidP="00E86006">
            <w:pPr>
              <w:snapToGrid w:val="0"/>
              <w:spacing w:line="400" w:lineRule="exact"/>
              <w:jc w:val="center"/>
              <w:rPr>
                <w:rFonts w:eastAsia="仿宋_GB2312"/>
                <w:b/>
                <w:bCs/>
                <w:color w:val="000000"/>
                <w:sz w:val="28"/>
                <w:szCs w:val="28"/>
              </w:rPr>
            </w:pPr>
            <w:r w:rsidRPr="00E86006">
              <w:rPr>
                <w:rFonts w:eastAsia="仿宋_GB2312"/>
                <w:b/>
                <w:bCs/>
                <w:color w:val="000000"/>
                <w:sz w:val="28"/>
                <w:szCs w:val="28"/>
              </w:rPr>
              <w:t>产品举例</w:t>
            </w:r>
          </w:p>
        </w:tc>
        <w:tc>
          <w:tcPr>
            <w:tcW w:w="2726" w:type="dxa"/>
            <w:tcBorders>
              <w:top w:val="single" w:sz="4" w:space="0" w:color="auto"/>
              <w:left w:val="single" w:sz="4" w:space="0" w:color="auto"/>
              <w:bottom w:val="single" w:sz="4" w:space="0" w:color="auto"/>
              <w:right w:val="single" w:sz="4" w:space="0" w:color="auto"/>
            </w:tcBorders>
          </w:tcPr>
          <w:p w14:paraId="55D90C15" w14:textId="77777777" w:rsidR="007D5E56" w:rsidRPr="00E86006" w:rsidRDefault="00E513F6" w:rsidP="00E86006">
            <w:pPr>
              <w:snapToGrid w:val="0"/>
              <w:spacing w:line="400" w:lineRule="exact"/>
              <w:jc w:val="center"/>
              <w:rPr>
                <w:rFonts w:eastAsia="仿宋_GB2312"/>
                <w:b/>
                <w:bCs/>
                <w:color w:val="000000"/>
                <w:sz w:val="28"/>
                <w:szCs w:val="28"/>
              </w:rPr>
            </w:pPr>
            <w:r w:rsidRPr="00E86006">
              <w:rPr>
                <w:rFonts w:eastAsia="仿宋_GB2312"/>
                <w:b/>
                <w:bCs/>
                <w:color w:val="000000"/>
                <w:sz w:val="28"/>
                <w:szCs w:val="28"/>
              </w:rPr>
              <w:t>分类编号</w:t>
            </w:r>
          </w:p>
        </w:tc>
      </w:tr>
      <w:tr w:rsidR="007D5E56" w14:paraId="65E41306"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689061F4"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超声软组织切割止血系统</w:t>
            </w:r>
          </w:p>
        </w:tc>
        <w:tc>
          <w:tcPr>
            <w:tcW w:w="2726" w:type="dxa"/>
            <w:tcBorders>
              <w:top w:val="single" w:sz="4" w:space="0" w:color="auto"/>
              <w:left w:val="single" w:sz="4" w:space="0" w:color="auto"/>
              <w:bottom w:val="single" w:sz="4" w:space="0" w:color="auto"/>
              <w:right w:val="single" w:sz="4" w:space="0" w:color="auto"/>
            </w:tcBorders>
          </w:tcPr>
          <w:p w14:paraId="060AC2E9"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01-01</w:t>
            </w:r>
          </w:p>
        </w:tc>
      </w:tr>
      <w:tr w:rsidR="007D5E56" w14:paraId="7BC19E7D"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79BAB7B9"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双</w:t>
            </w:r>
            <w:proofErr w:type="gramStart"/>
            <w:r>
              <w:rPr>
                <w:rFonts w:eastAsia="仿宋_GB2312"/>
                <w:color w:val="000000"/>
                <w:sz w:val="28"/>
                <w:szCs w:val="28"/>
              </w:rPr>
              <w:t>极</w:t>
            </w:r>
            <w:proofErr w:type="gramEnd"/>
            <w:r>
              <w:rPr>
                <w:rFonts w:eastAsia="仿宋_GB2312"/>
                <w:color w:val="000000"/>
                <w:sz w:val="28"/>
                <w:szCs w:val="28"/>
              </w:rPr>
              <w:t>血管闭合设备</w:t>
            </w:r>
          </w:p>
        </w:tc>
        <w:tc>
          <w:tcPr>
            <w:tcW w:w="2726" w:type="dxa"/>
            <w:tcBorders>
              <w:top w:val="single" w:sz="4" w:space="0" w:color="auto"/>
              <w:left w:val="single" w:sz="4" w:space="0" w:color="auto"/>
              <w:bottom w:val="single" w:sz="4" w:space="0" w:color="auto"/>
              <w:right w:val="single" w:sz="4" w:space="0" w:color="auto"/>
            </w:tcBorders>
          </w:tcPr>
          <w:p w14:paraId="0B273FA7"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01-03</w:t>
            </w:r>
          </w:p>
        </w:tc>
      </w:tr>
      <w:tr w:rsidR="007D5E56" w14:paraId="0096D8FA"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4DEA23C9"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可吸收结扎夹</w:t>
            </w:r>
          </w:p>
        </w:tc>
        <w:tc>
          <w:tcPr>
            <w:tcW w:w="2726" w:type="dxa"/>
            <w:tcBorders>
              <w:top w:val="single" w:sz="4" w:space="0" w:color="auto"/>
              <w:left w:val="single" w:sz="4" w:space="0" w:color="auto"/>
              <w:bottom w:val="single" w:sz="4" w:space="0" w:color="auto"/>
              <w:right w:val="single" w:sz="4" w:space="0" w:color="auto"/>
            </w:tcBorders>
          </w:tcPr>
          <w:p w14:paraId="2A6BB1F5"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02-06</w:t>
            </w:r>
          </w:p>
        </w:tc>
      </w:tr>
      <w:tr w:rsidR="007D5E56" w14:paraId="5917FF1A"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360EA18C"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吻合器（肠道吻合器、皮肤吻合器除外）</w:t>
            </w:r>
          </w:p>
        </w:tc>
        <w:tc>
          <w:tcPr>
            <w:tcW w:w="2726" w:type="dxa"/>
            <w:tcBorders>
              <w:top w:val="single" w:sz="4" w:space="0" w:color="auto"/>
              <w:left w:val="single" w:sz="4" w:space="0" w:color="auto"/>
              <w:bottom w:val="single" w:sz="4" w:space="0" w:color="auto"/>
              <w:right w:val="single" w:sz="4" w:space="0" w:color="auto"/>
            </w:tcBorders>
          </w:tcPr>
          <w:p w14:paraId="6A585093"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02-13</w:t>
            </w:r>
          </w:p>
        </w:tc>
      </w:tr>
      <w:tr w:rsidR="007D5E56" w14:paraId="685D5752"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08A27146"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可吸收吻合钉</w:t>
            </w:r>
          </w:p>
        </w:tc>
        <w:tc>
          <w:tcPr>
            <w:tcW w:w="2726" w:type="dxa"/>
            <w:tcBorders>
              <w:top w:val="single" w:sz="4" w:space="0" w:color="auto"/>
              <w:left w:val="single" w:sz="4" w:space="0" w:color="auto"/>
              <w:bottom w:val="single" w:sz="4" w:space="0" w:color="auto"/>
              <w:right w:val="single" w:sz="4" w:space="0" w:color="auto"/>
            </w:tcBorders>
          </w:tcPr>
          <w:p w14:paraId="5AE04253"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02-13</w:t>
            </w:r>
          </w:p>
        </w:tc>
      </w:tr>
      <w:tr w:rsidR="007D5E56" w14:paraId="0260D3E1"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5FEBD794"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药物涂层球囊扩张导管</w:t>
            </w:r>
          </w:p>
        </w:tc>
        <w:tc>
          <w:tcPr>
            <w:tcW w:w="2726" w:type="dxa"/>
            <w:tcBorders>
              <w:top w:val="single" w:sz="4" w:space="0" w:color="auto"/>
              <w:left w:val="single" w:sz="4" w:space="0" w:color="auto"/>
              <w:bottom w:val="single" w:sz="4" w:space="0" w:color="auto"/>
              <w:right w:val="single" w:sz="4" w:space="0" w:color="auto"/>
            </w:tcBorders>
          </w:tcPr>
          <w:p w14:paraId="75BA2D17"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03-13</w:t>
            </w:r>
          </w:p>
        </w:tc>
      </w:tr>
      <w:tr w:rsidR="007D5E56" w14:paraId="46999EAF"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57AD106A"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支架型取</w:t>
            </w:r>
            <w:proofErr w:type="gramStart"/>
            <w:r>
              <w:rPr>
                <w:rFonts w:eastAsia="仿宋_GB2312"/>
                <w:color w:val="000000"/>
                <w:sz w:val="28"/>
                <w:szCs w:val="28"/>
              </w:rPr>
              <w:t>栓</w:t>
            </w:r>
            <w:proofErr w:type="gramEnd"/>
            <w:r>
              <w:rPr>
                <w:rFonts w:eastAsia="仿宋_GB2312"/>
                <w:color w:val="000000"/>
                <w:sz w:val="28"/>
                <w:szCs w:val="28"/>
              </w:rPr>
              <w:t>器械</w:t>
            </w:r>
          </w:p>
        </w:tc>
        <w:tc>
          <w:tcPr>
            <w:tcW w:w="2726" w:type="dxa"/>
            <w:tcBorders>
              <w:top w:val="single" w:sz="4" w:space="0" w:color="auto"/>
              <w:left w:val="single" w:sz="4" w:space="0" w:color="auto"/>
              <w:bottom w:val="single" w:sz="4" w:space="0" w:color="auto"/>
              <w:right w:val="single" w:sz="4" w:space="0" w:color="auto"/>
            </w:tcBorders>
          </w:tcPr>
          <w:p w14:paraId="255B9CC3"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03-13</w:t>
            </w:r>
          </w:p>
        </w:tc>
      </w:tr>
      <w:tr w:rsidR="007D5E56" w14:paraId="25461E6B"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0E69821C"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体外除颤产品</w:t>
            </w:r>
          </w:p>
        </w:tc>
        <w:tc>
          <w:tcPr>
            <w:tcW w:w="2726" w:type="dxa"/>
            <w:tcBorders>
              <w:top w:val="single" w:sz="4" w:space="0" w:color="auto"/>
              <w:left w:val="single" w:sz="4" w:space="0" w:color="auto"/>
              <w:bottom w:val="single" w:sz="4" w:space="0" w:color="auto"/>
              <w:right w:val="single" w:sz="4" w:space="0" w:color="auto"/>
            </w:tcBorders>
          </w:tcPr>
          <w:p w14:paraId="00B11A2F"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08-03</w:t>
            </w:r>
          </w:p>
        </w:tc>
      </w:tr>
      <w:tr w:rsidR="007D5E56" w14:paraId="6A46C16E"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0E09C232"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植入式心脏起搏器</w:t>
            </w:r>
          </w:p>
        </w:tc>
        <w:tc>
          <w:tcPr>
            <w:tcW w:w="2726" w:type="dxa"/>
            <w:tcBorders>
              <w:top w:val="single" w:sz="4" w:space="0" w:color="auto"/>
              <w:left w:val="single" w:sz="4" w:space="0" w:color="auto"/>
              <w:bottom w:val="single" w:sz="4" w:space="0" w:color="auto"/>
              <w:right w:val="single" w:sz="4" w:space="0" w:color="auto"/>
            </w:tcBorders>
          </w:tcPr>
          <w:p w14:paraId="276BB68B"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12-01</w:t>
            </w:r>
          </w:p>
        </w:tc>
      </w:tr>
      <w:tr w:rsidR="007D5E56" w14:paraId="0C3643B7"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377793BB"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植入式心脏电极导线</w:t>
            </w:r>
          </w:p>
        </w:tc>
        <w:tc>
          <w:tcPr>
            <w:tcW w:w="2726" w:type="dxa"/>
            <w:tcBorders>
              <w:top w:val="single" w:sz="4" w:space="0" w:color="auto"/>
              <w:left w:val="single" w:sz="4" w:space="0" w:color="auto"/>
              <w:bottom w:val="single" w:sz="4" w:space="0" w:color="auto"/>
              <w:right w:val="single" w:sz="4" w:space="0" w:color="auto"/>
            </w:tcBorders>
          </w:tcPr>
          <w:p w14:paraId="016B4B59"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12-01</w:t>
            </w:r>
          </w:p>
        </w:tc>
      </w:tr>
      <w:tr w:rsidR="007D5E56" w14:paraId="542F4E01"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18D087AB"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植入式神经刺激器</w:t>
            </w:r>
          </w:p>
        </w:tc>
        <w:tc>
          <w:tcPr>
            <w:tcW w:w="2726" w:type="dxa"/>
            <w:tcBorders>
              <w:top w:val="single" w:sz="4" w:space="0" w:color="auto"/>
              <w:left w:val="single" w:sz="4" w:space="0" w:color="auto"/>
              <w:bottom w:val="single" w:sz="4" w:space="0" w:color="auto"/>
              <w:right w:val="single" w:sz="4" w:space="0" w:color="auto"/>
            </w:tcBorders>
          </w:tcPr>
          <w:p w14:paraId="12F17557"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12-02</w:t>
            </w:r>
          </w:p>
        </w:tc>
      </w:tr>
      <w:tr w:rsidR="007D5E56" w14:paraId="07C2DD0A"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35D051D2"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人工耳蜗</w:t>
            </w:r>
          </w:p>
        </w:tc>
        <w:tc>
          <w:tcPr>
            <w:tcW w:w="2726" w:type="dxa"/>
            <w:tcBorders>
              <w:top w:val="single" w:sz="4" w:space="0" w:color="auto"/>
              <w:left w:val="single" w:sz="4" w:space="0" w:color="auto"/>
              <w:bottom w:val="single" w:sz="4" w:space="0" w:color="auto"/>
              <w:right w:val="single" w:sz="4" w:space="0" w:color="auto"/>
            </w:tcBorders>
          </w:tcPr>
          <w:p w14:paraId="13DFB22B"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12-03</w:t>
            </w:r>
          </w:p>
        </w:tc>
      </w:tr>
      <w:tr w:rsidR="007D5E56" w14:paraId="71D414CD"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59A66BB3"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植入式心室辅助装置</w:t>
            </w:r>
          </w:p>
        </w:tc>
        <w:tc>
          <w:tcPr>
            <w:tcW w:w="2726" w:type="dxa"/>
            <w:tcBorders>
              <w:top w:val="single" w:sz="4" w:space="0" w:color="auto"/>
              <w:left w:val="single" w:sz="4" w:space="0" w:color="auto"/>
              <w:bottom w:val="single" w:sz="4" w:space="0" w:color="auto"/>
              <w:right w:val="single" w:sz="4" w:space="0" w:color="auto"/>
            </w:tcBorders>
          </w:tcPr>
          <w:p w14:paraId="607E8C2A"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12-04</w:t>
            </w:r>
          </w:p>
        </w:tc>
      </w:tr>
      <w:tr w:rsidR="007D5E56" w14:paraId="27310E5D"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702EEBBD"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骨内固定用可降解金属螺钉</w:t>
            </w:r>
          </w:p>
        </w:tc>
        <w:tc>
          <w:tcPr>
            <w:tcW w:w="2726" w:type="dxa"/>
            <w:tcBorders>
              <w:top w:val="single" w:sz="4" w:space="0" w:color="auto"/>
              <w:left w:val="single" w:sz="4" w:space="0" w:color="auto"/>
              <w:bottom w:val="single" w:sz="4" w:space="0" w:color="auto"/>
              <w:right w:val="single" w:sz="4" w:space="0" w:color="auto"/>
            </w:tcBorders>
          </w:tcPr>
          <w:p w14:paraId="5316A7D2"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13-01</w:t>
            </w:r>
          </w:p>
        </w:tc>
      </w:tr>
      <w:tr w:rsidR="007D5E56" w14:paraId="04A703E3"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2000CEEB"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可吸收</w:t>
            </w:r>
            <w:proofErr w:type="gramStart"/>
            <w:r>
              <w:rPr>
                <w:rFonts w:eastAsia="仿宋_GB2312"/>
                <w:color w:val="000000"/>
                <w:sz w:val="28"/>
                <w:szCs w:val="28"/>
              </w:rPr>
              <w:t>外科锚钉</w:t>
            </w:r>
            <w:proofErr w:type="gramEnd"/>
          </w:p>
        </w:tc>
        <w:tc>
          <w:tcPr>
            <w:tcW w:w="2726" w:type="dxa"/>
            <w:tcBorders>
              <w:top w:val="single" w:sz="4" w:space="0" w:color="auto"/>
              <w:left w:val="single" w:sz="4" w:space="0" w:color="auto"/>
              <w:bottom w:val="single" w:sz="4" w:space="0" w:color="auto"/>
              <w:right w:val="single" w:sz="4" w:space="0" w:color="auto"/>
            </w:tcBorders>
          </w:tcPr>
          <w:p w14:paraId="5A0ECBA3"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13-02</w:t>
            </w:r>
          </w:p>
        </w:tc>
      </w:tr>
      <w:tr w:rsidR="007D5E56" w14:paraId="301033FF"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164CBC83" w14:textId="77777777" w:rsidR="007D5E56" w:rsidRDefault="00E513F6">
            <w:pPr>
              <w:snapToGrid w:val="0"/>
              <w:spacing w:line="400" w:lineRule="exact"/>
              <w:jc w:val="left"/>
              <w:rPr>
                <w:rFonts w:eastAsia="仿宋_GB2312"/>
                <w:color w:val="000000"/>
                <w:sz w:val="28"/>
                <w:szCs w:val="28"/>
              </w:rPr>
            </w:pPr>
            <w:r>
              <w:rPr>
                <w:rFonts w:eastAsia="仿宋_GB2312"/>
                <w:color w:val="000000"/>
                <w:sz w:val="28"/>
                <w:szCs w:val="28"/>
              </w:rPr>
              <w:t>骨填充材料</w:t>
            </w:r>
          </w:p>
        </w:tc>
        <w:tc>
          <w:tcPr>
            <w:tcW w:w="2726" w:type="dxa"/>
            <w:tcBorders>
              <w:top w:val="single" w:sz="4" w:space="0" w:color="auto"/>
              <w:left w:val="single" w:sz="4" w:space="0" w:color="auto"/>
              <w:bottom w:val="single" w:sz="4" w:space="0" w:color="auto"/>
              <w:right w:val="single" w:sz="4" w:space="0" w:color="auto"/>
            </w:tcBorders>
          </w:tcPr>
          <w:p w14:paraId="18E8A50A"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13-05</w:t>
            </w:r>
          </w:p>
        </w:tc>
      </w:tr>
      <w:tr w:rsidR="007D5E56" w14:paraId="30FA3B36"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78A77C6C"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颅内动脉瘤血流导向装置</w:t>
            </w:r>
          </w:p>
        </w:tc>
        <w:tc>
          <w:tcPr>
            <w:tcW w:w="2726" w:type="dxa"/>
            <w:tcBorders>
              <w:top w:val="single" w:sz="4" w:space="0" w:color="auto"/>
              <w:left w:val="single" w:sz="4" w:space="0" w:color="auto"/>
              <w:bottom w:val="single" w:sz="4" w:space="0" w:color="auto"/>
              <w:right w:val="single" w:sz="4" w:space="0" w:color="auto"/>
            </w:tcBorders>
          </w:tcPr>
          <w:p w14:paraId="4C5D43AE"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13-06</w:t>
            </w:r>
          </w:p>
        </w:tc>
      </w:tr>
      <w:tr w:rsidR="007D5E56" w14:paraId="7DC4BFED"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0ABE47A9" w14:textId="77777777" w:rsidR="007D5E56" w:rsidRDefault="00E513F6">
            <w:pPr>
              <w:snapToGrid w:val="0"/>
              <w:spacing w:line="400" w:lineRule="exact"/>
              <w:rPr>
                <w:color w:val="000000"/>
                <w:sz w:val="15"/>
                <w:szCs w:val="15"/>
              </w:rPr>
            </w:pPr>
            <w:r>
              <w:rPr>
                <w:rFonts w:eastAsia="仿宋_GB2312"/>
                <w:color w:val="000000"/>
                <w:sz w:val="28"/>
                <w:szCs w:val="28"/>
              </w:rPr>
              <w:t>可吸收硬脑（脊）</w:t>
            </w:r>
            <w:proofErr w:type="gramStart"/>
            <w:r>
              <w:rPr>
                <w:rFonts w:eastAsia="仿宋_GB2312"/>
                <w:color w:val="000000"/>
                <w:sz w:val="28"/>
                <w:szCs w:val="28"/>
              </w:rPr>
              <w:t>膜补片</w:t>
            </w:r>
            <w:proofErr w:type="gramEnd"/>
          </w:p>
        </w:tc>
        <w:tc>
          <w:tcPr>
            <w:tcW w:w="2726" w:type="dxa"/>
            <w:tcBorders>
              <w:top w:val="single" w:sz="4" w:space="0" w:color="auto"/>
              <w:left w:val="single" w:sz="4" w:space="0" w:color="auto"/>
              <w:bottom w:val="single" w:sz="4" w:space="0" w:color="auto"/>
              <w:right w:val="single" w:sz="4" w:space="0" w:color="auto"/>
            </w:tcBorders>
          </w:tcPr>
          <w:p w14:paraId="40CFC4FC"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13-06</w:t>
            </w:r>
          </w:p>
        </w:tc>
      </w:tr>
      <w:tr w:rsidR="007D5E56" w14:paraId="46C18B29"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0003D2C6" w14:textId="77777777" w:rsidR="007D5E56" w:rsidRDefault="00E513F6">
            <w:pPr>
              <w:snapToGrid w:val="0"/>
              <w:spacing w:line="400" w:lineRule="exact"/>
              <w:rPr>
                <w:rFonts w:eastAsia="仿宋_GB2312"/>
                <w:color w:val="000000"/>
                <w:sz w:val="28"/>
                <w:szCs w:val="28"/>
              </w:rPr>
            </w:pPr>
            <w:proofErr w:type="gramStart"/>
            <w:r>
              <w:rPr>
                <w:rFonts w:eastAsia="仿宋_GB2312"/>
                <w:color w:val="000000"/>
                <w:sz w:val="28"/>
                <w:szCs w:val="28"/>
              </w:rPr>
              <w:t>胸主</w:t>
            </w:r>
            <w:proofErr w:type="gramEnd"/>
            <w:r>
              <w:rPr>
                <w:rFonts w:eastAsia="仿宋_GB2312"/>
                <w:color w:val="000000"/>
                <w:sz w:val="28"/>
                <w:szCs w:val="28"/>
              </w:rPr>
              <w:t>/</w:t>
            </w:r>
            <w:r>
              <w:rPr>
                <w:rFonts w:eastAsia="仿宋_GB2312"/>
                <w:color w:val="000000"/>
                <w:sz w:val="28"/>
                <w:szCs w:val="28"/>
              </w:rPr>
              <w:t>腹主动脉覆膜支架</w:t>
            </w:r>
          </w:p>
        </w:tc>
        <w:tc>
          <w:tcPr>
            <w:tcW w:w="2726" w:type="dxa"/>
            <w:tcBorders>
              <w:top w:val="single" w:sz="4" w:space="0" w:color="auto"/>
              <w:left w:val="single" w:sz="4" w:space="0" w:color="auto"/>
              <w:bottom w:val="single" w:sz="4" w:space="0" w:color="auto"/>
              <w:right w:val="single" w:sz="4" w:space="0" w:color="auto"/>
            </w:tcBorders>
          </w:tcPr>
          <w:p w14:paraId="2DB9AA28"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13-07</w:t>
            </w:r>
          </w:p>
        </w:tc>
      </w:tr>
      <w:tr w:rsidR="007D5E56" w14:paraId="0516BF31"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0A048844"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药物洗脱支架</w:t>
            </w:r>
          </w:p>
        </w:tc>
        <w:tc>
          <w:tcPr>
            <w:tcW w:w="2726" w:type="dxa"/>
            <w:tcBorders>
              <w:top w:val="single" w:sz="4" w:space="0" w:color="auto"/>
              <w:left w:val="single" w:sz="4" w:space="0" w:color="auto"/>
              <w:bottom w:val="single" w:sz="4" w:space="0" w:color="auto"/>
              <w:right w:val="single" w:sz="4" w:space="0" w:color="auto"/>
            </w:tcBorders>
          </w:tcPr>
          <w:p w14:paraId="6AEC44C2"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13-07</w:t>
            </w:r>
          </w:p>
        </w:tc>
      </w:tr>
      <w:tr w:rsidR="007D5E56" w14:paraId="48B8229D"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54B15FE4"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人工血管</w:t>
            </w:r>
          </w:p>
        </w:tc>
        <w:tc>
          <w:tcPr>
            <w:tcW w:w="2726" w:type="dxa"/>
            <w:tcBorders>
              <w:top w:val="single" w:sz="4" w:space="0" w:color="auto"/>
              <w:left w:val="single" w:sz="4" w:space="0" w:color="auto"/>
              <w:bottom w:val="single" w:sz="4" w:space="0" w:color="auto"/>
              <w:right w:val="single" w:sz="4" w:space="0" w:color="auto"/>
            </w:tcBorders>
          </w:tcPr>
          <w:p w14:paraId="33B8844C"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13-07</w:t>
            </w:r>
          </w:p>
        </w:tc>
      </w:tr>
      <w:tr w:rsidR="007D5E56" w14:paraId="412B02B3"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5B14B40E"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人工心脏瓣膜</w:t>
            </w:r>
          </w:p>
        </w:tc>
        <w:tc>
          <w:tcPr>
            <w:tcW w:w="2726" w:type="dxa"/>
            <w:tcBorders>
              <w:top w:val="single" w:sz="4" w:space="0" w:color="auto"/>
              <w:left w:val="single" w:sz="4" w:space="0" w:color="auto"/>
              <w:bottom w:val="single" w:sz="4" w:space="0" w:color="auto"/>
              <w:right w:val="single" w:sz="4" w:space="0" w:color="auto"/>
            </w:tcBorders>
          </w:tcPr>
          <w:p w14:paraId="444C60D1"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13-07</w:t>
            </w:r>
          </w:p>
        </w:tc>
      </w:tr>
      <w:tr w:rsidR="007D5E56" w14:paraId="10AFADE6"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2A135F86"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lastRenderedPageBreak/>
              <w:t>心脏瓣膜成形环</w:t>
            </w:r>
          </w:p>
        </w:tc>
        <w:tc>
          <w:tcPr>
            <w:tcW w:w="2726" w:type="dxa"/>
            <w:tcBorders>
              <w:top w:val="single" w:sz="4" w:space="0" w:color="auto"/>
              <w:left w:val="single" w:sz="4" w:space="0" w:color="auto"/>
              <w:bottom w:val="single" w:sz="4" w:space="0" w:color="auto"/>
              <w:right w:val="single" w:sz="4" w:space="0" w:color="auto"/>
            </w:tcBorders>
          </w:tcPr>
          <w:p w14:paraId="444470FF"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13-07</w:t>
            </w:r>
          </w:p>
        </w:tc>
      </w:tr>
      <w:tr w:rsidR="007D5E56" w14:paraId="229B9BB3"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3EAEFA11"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心脏封堵器</w:t>
            </w:r>
          </w:p>
        </w:tc>
        <w:tc>
          <w:tcPr>
            <w:tcW w:w="2726" w:type="dxa"/>
            <w:tcBorders>
              <w:top w:val="single" w:sz="4" w:space="0" w:color="auto"/>
              <w:left w:val="single" w:sz="4" w:space="0" w:color="auto"/>
              <w:bottom w:val="single" w:sz="4" w:space="0" w:color="auto"/>
              <w:right w:val="single" w:sz="4" w:space="0" w:color="auto"/>
            </w:tcBorders>
          </w:tcPr>
          <w:p w14:paraId="59BC29C7"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13-07</w:t>
            </w:r>
          </w:p>
        </w:tc>
      </w:tr>
      <w:tr w:rsidR="007D5E56" w14:paraId="14A7CDDB"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46B0E4CA"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腹腔内置</w:t>
            </w:r>
            <w:proofErr w:type="gramStart"/>
            <w:r>
              <w:rPr>
                <w:rFonts w:eastAsia="仿宋_GB2312"/>
                <w:color w:val="000000"/>
                <w:sz w:val="28"/>
                <w:szCs w:val="28"/>
              </w:rPr>
              <w:t>疝</w:t>
            </w:r>
            <w:proofErr w:type="gramEnd"/>
            <w:r>
              <w:rPr>
                <w:rFonts w:eastAsia="仿宋_GB2312"/>
                <w:color w:val="000000"/>
                <w:sz w:val="28"/>
                <w:szCs w:val="28"/>
              </w:rPr>
              <w:t>修补</w:t>
            </w:r>
            <w:proofErr w:type="gramStart"/>
            <w:r>
              <w:rPr>
                <w:rFonts w:eastAsia="仿宋_GB2312"/>
                <w:color w:val="000000"/>
                <w:sz w:val="28"/>
                <w:szCs w:val="28"/>
              </w:rPr>
              <w:t>补</w:t>
            </w:r>
            <w:proofErr w:type="gramEnd"/>
            <w:r>
              <w:rPr>
                <w:rFonts w:eastAsia="仿宋_GB2312"/>
                <w:color w:val="000000"/>
                <w:sz w:val="28"/>
                <w:szCs w:val="28"/>
              </w:rPr>
              <w:t>片</w:t>
            </w:r>
          </w:p>
        </w:tc>
        <w:tc>
          <w:tcPr>
            <w:tcW w:w="2726" w:type="dxa"/>
            <w:tcBorders>
              <w:top w:val="single" w:sz="4" w:space="0" w:color="auto"/>
              <w:left w:val="single" w:sz="4" w:space="0" w:color="auto"/>
              <w:bottom w:val="single" w:sz="4" w:space="0" w:color="auto"/>
              <w:right w:val="single" w:sz="4" w:space="0" w:color="auto"/>
            </w:tcBorders>
          </w:tcPr>
          <w:p w14:paraId="0B45ED28"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13-09</w:t>
            </w:r>
          </w:p>
        </w:tc>
      </w:tr>
      <w:tr w:rsidR="007D5E56" w14:paraId="3C07AA58"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0491187D"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可吸收外科补片</w:t>
            </w:r>
          </w:p>
        </w:tc>
        <w:tc>
          <w:tcPr>
            <w:tcW w:w="2726" w:type="dxa"/>
            <w:tcBorders>
              <w:top w:val="single" w:sz="4" w:space="0" w:color="auto"/>
              <w:left w:val="single" w:sz="4" w:space="0" w:color="auto"/>
              <w:bottom w:val="single" w:sz="4" w:space="0" w:color="auto"/>
              <w:right w:val="single" w:sz="4" w:space="0" w:color="auto"/>
            </w:tcBorders>
          </w:tcPr>
          <w:p w14:paraId="4D65234A"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13-09</w:t>
            </w:r>
          </w:p>
        </w:tc>
      </w:tr>
      <w:tr w:rsidR="007D5E56" w14:paraId="5A46014F"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0D1ED15B"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神经修复材料</w:t>
            </w:r>
          </w:p>
        </w:tc>
        <w:tc>
          <w:tcPr>
            <w:tcW w:w="2726" w:type="dxa"/>
            <w:tcBorders>
              <w:top w:val="single" w:sz="4" w:space="0" w:color="auto"/>
              <w:left w:val="single" w:sz="4" w:space="0" w:color="auto"/>
              <w:bottom w:val="single" w:sz="4" w:space="0" w:color="auto"/>
              <w:right w:val="single" w:sz="4" w:space="0" w:color="auto"/>
            </w:tcBorders>
          </w:tcPr>
          <w:p w14:paraId="72524C4C"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13-10</w:t>
            </w:r>
          </w:p>
        </w:tc>
      </w:tr>
      <w:tr w:rsidR="007D5E56" w14:paraId="1212689D"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4AAD1DB9"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可吸收外科止血材料</w:t>
            </w:r>
          </w:p>
        </w:tc>
        <w:tc>
          <w:tcPr>
            <w:tcW w:w="2726" w:type="dxa"/>
            <w:tcBorders>
              <w:top w:val="single" w:sz="4" w:space="0" w:color="auto"/>
              <w:left w:val="single" w:sz="4" w:space="0" w:color="auto"/>
              <w:bottom w:val="single" w:sz="4" w:space="0" w:color="auto"/>
              <w:right w:val="single" w:sz="4" w:space="0" w:color="auto"/>
            </w:tcBorders>
          </w:tcPr>
          <w:p w14:paraId="6E5A1CDE"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14-08</w:t>
            </w:r>
          </w:p>
        </w:tc>
      </w:tr>
      <w:tr w:rsidR="007D5E56" w14:paraId="57DDB371"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6743FB2A"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可吸收外科防粘连材料</w:t>
            </w:r>
          </w:p>
        </w:tc>
        <w:tc>
          <w:tcPr>
            <w:tcW w:w="2726" w:type="dxa"/>
            <w:tcBorders>
              <w:top w:val="single" w:sz="4" w:space="0" w:color="auto"/>
              <w:left w:val="single" w:sz="4" w:space="0" w:color="auto"/>
              <w:bottom w:val="single" w:sz="4" w:space="0" w:color="auto"/>
              <w:right w:val="single" w:sz="4" w:space="0" w:color="auto"/>
            </w:tcBorders>
          </w:tcPr>
          <w:p w14:paraId="360779F0"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14-08</w:t>
            </w:r>
          </w:p>
        </w:tc>
      </w:tr>
      <w:tr w:rsidR="007D5E56" w14:paraId="2A0EDF87"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6F39EC49"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粘合剂</w:t>
            </w:r>
          </w:p>
        </w:tc>
        <w:tc>
          <w:tcPr>
            <w:tcW w:w="2726" w:type="dxa"/>
            <w:tcBorders>
              <w:top w:val="single" w:sz="4" w:space="0" w:color="auto"/>
              <w:left w:val="single" w:sz="4" w:space="0" w:color="auto"/>
              <w:bottom w:val="single" w:sz="4" w:space="0" w:color="auto"/>
              <w:right w:val="single" w:sz="4" w:space="0" w:color="auto"/>
            </w:tcBorders>
          </w:tcPr>
          <w:p w14:paraId="1C2A9E7D"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14-08</w:t>
            </w:r>
          </w:p>
        </w:tc>
      </w:tr>
      <w:tr w:rsidR="007D5E56" w14:paraId="2E3638D4"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17A207C6"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粘堵剂</w:t>
            </w:r>
          </w:p>
        </w:tc>
        <w:tc>
          <w:tcPr>
            <w:tcW w:w="2726" w:type="dxa"/>
            <w:tcBorders>
              <w:top w:val="single" w:sz="4" w:space="0" w:color="auto"/>
              <w:left w:val="single" w:sz="4" w:space="0" w:color="auto"/>
              <w:bottom w:val="single" w:sz="4" w:space="0" w:color="auto"/>
              <w:right w:val="single" w:sz="4" w:space="0" w:color="auto"/>
            </w:tcBorders>
          </w:tcPr>
          <w:p w14:paraId="3E110694"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14-08</w:t>
            </w:r>
          </w:p>
        </w:tc>
      </w:tr>
      <w:tr w:rsidR="007D5E56" w14:paraId="17AFD859"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712EE76B"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生物敷料</w:t>
            </w:r>
          </w:p>
        </w:tc>
        <w:tc>
          <w:tcPr>
            <w:tcW w:w="2726" w:type="dxa"/>
            <w:tcBorders>
              <w:top w:val="single" w:sz="4" w:space="0" w:color="auto"/>
              <w:left w:val="single" w:sz="4" w:space="0" w:color="auto"/>
              <w:bottom w:val="single" w:sz="4" w:space="0" w:color="auto"/>
              <w:right w:val="single" w:sz="4" w:space="0" w:color="auto"/>
            </w:tcBorders>
          </w:tcPr>
          <w:p w14:paraId="2F70DBDF"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14-10</w:t>
            </w:r>
          </w:p>
        </w:tc>
      </w:tr>
      <w:tr w:rsidR="007D5E56" w14:paraId="44AF7B06"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500B9C1B" w14:textId="77777777" w:rsidR="007D5E56" w:rsidRDefault="00E513F6">
            <w:pPr>
              <w:snapToGrid w:val="0"/>
              <w:spacing w:line="400" w:lineRule="exact"/>
              <w:rPr>
                <w:rFonts w:eastAsia="仿宋_GB2312"/>
                <w:color w:val="000000"/>
                <w:sz w:val="28"/>
                <w:szCs w:val="28"/>
              </w:rPr>
            </w:pPr>
            <w:proofErr w:type="gramStart"/>
            <w:r>
              <w:rPr>
                <w:rFonts w:eastAsia="仿宋_GB2312"/>
                <w:color w:val="000000"/>
                <w:sz w:val="28"/>
                <w:szCs w:val="28"/>
              </w:rPr>
              <w:t>含壳聚糖</w:t>
            </w:r>
            <w:proofErr w:type="gramEnd"/>
            <w:r>
              <w:rPr>
                <w:rFonts w:eastAsia="仿宋_GB2312"/>
                <w:color w:val="000000"/>
                <w:sz w:val="28"/>
                <w:szCs w:val="28"/>
              </w:rPr>
              <w:t>敷料</w:t>
            </w:r>
          </w:p>
        </w:tc>
        <w:tc>
          <w:tcPr>
            <w:tcW w:w="2726" w:type="dxa"/>
            <w:tcBorders>
              <w:top w:val="single" w:sz="4" w:space="0" w:color="auto"/>
              <w:left w:val="single" w:sz="4" w:space="0" w:color="auto"/>
              <w:bottom w:val="single" w:sz="4" w:space="0" w:color="auto"/>
              <w:right w:val="single" w:sz="4" w:space="0" w:color="auto"/>
            </w:tcBorders>
          </w:tcPr>
          <w:p w14:paraId="6870A67A"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14-10</w:t>
            </w:r>
          </w:p>
        </w:tc>
      </w:tr>
      <w:tr w:rsidR="007D5E56" w14:paraId="793EE1CD"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1B0F73D1"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含银敷料</w:t>
            </w:r>
          </w:p>
        </w:tc>
        <w:tc>
          <w:tcPr>
            <w:tcW w:w="2726" w:type="dxa"/>
            <w:tcBorders>
              <w:top w:val="single" w:sz="4" w:space="0" w:color="auto"/>
              <w:left w:val="single" w:sz="4" w:space="0" w:color="auto"/>
              <w:bottom w:val="single" w:sz="4" w:space="0" w:color="auto"/>
              <w:right w:val="single" w:sz="4" w:space="0" w:color="auto"/>
            </w:tcBorders>
          </w:tcPr>
          <w:p w14:paraId="3ADADC36"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14-10</w:t>
            </w:r>
          </w:p>
        </w:tc>
      </w:tr>
      <w:tr w:rsidR="007D5E56" w14:paraId="142422B9"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vAlign w:val="center"/>
          </w:tcPr>
          <w:p w14:paraId="7C695BAC"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脱细胞角膜植片</w:t>
            </w:r>
          </w:p>
        </w:tc>
        <w:tc>
          <w:tcPr>
            <w:tcW w:w="2726" w:type="dxa"/>
            <w:tcBorders>
              <w:top w:val="single" w:sz="4" w:space="0" w:color="auto"/>
              <w:left w:val="single" w:sz="4" w:space="0" w:color="auto"/>
              <w:bottom w:val="single" w:sz="4" w:space="0" w:color="auto"/>
              <w:right w:val="single" w:sz="4" w:space="0" w:color="auto"/>
            </w:tcBorders>
          </w:tcPr>
          <w:p w14:paraId="70EECC65"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16-07</w:t>
            </w:r>
          </w:p>
        </w:tc>
      </w:tr>
      <w:tr w:rsidR="007D5E56" w14:paraId="34F4FBB9"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4954D991" w14:textId="77777777" w:rsidR="007D5E56" w:rsidRDefault="00E513F6">
            <w:pPr>
              <w:snapToGrid w:val="0"/>
              <w:spacing w:line="400" w:lineRule="exact"/>
              <w:jc w:val="left"/>
              <w:rPr>
                <w:rFonts w:eastAsia="仿宋_GB2312"/>
                <w:color w:val="000000"/>
                <w:sz w:val="28"/>
                <w:szCs w:val="28"/>
              </w:rPr>
            </w:pPr>
            <w:r>
              <w:rPr>
                <w:rFonts w:eastAsia="仿宋_GB2312"/>
                <w:color w:val="000000"/>
                <w:sz w:val="28"/>
                <w:szCs w:val="28"/>
              </w:rPr>
              <w:t>牙种植体</w:t>
            </w:r>
          </w:p>
        </w:tc>
        <w:tc>
          <w:tcPr>
            <w:tcW w:w="2726" w:type="dxa"/>
            <w:tcBorders>
              <w:top w:val="single" w:sz="4" w:space="0" w:color="auto"/>
              <w:left w:val="single" w:sz="4" w:space="0" w:color="auto"/>
              <w:bottom w:val="single" w:sz="4" w:space="0" w:color="auto"/>
              <w:right w:val="single" w:sz="4" w:space="0" w:color="auto"/>
            </w:tcBorders>
          </w:tcPr>
          <w:p w14:paraId="572B58A8"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17-08</w:t>
            </w:r>
          </w:p>
        </w:tc>
      </w:tr>
      <w:tr w:rsidR="007D5E56" w14:paraId="415C4571" w14:textId="77777777">
        <w:trPr>
          <w:trHeight w:hRule="exact" w:val="454"/>
          <w:jc w:val="center"/>
        </w:trPr>
        <w:tc>
          <w:tcPr>
            <w:tcW w:w="5523" w:type="dxa"/>
            <w:tcBorders>
              <w:top w:val="single" w:sz="4" w:space="0" w:color="auto"/>
              <w:left w:val="single" w:sz="4" w:space="0" w:color="auto"/>
              <w:bottom w:val="single" w:sz="4" w:space="0" w:color="auto"/>
              <w:right w:val="single" w:sz="4" w:space="0" w:color="auto"/>
            </w:tcBorders>
          </w:tcPr>
          <w:p w14:paraId="3569C81E"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口腔修复膜</w:t>
            </w:r>
          </w:p>
        </w:tc>
        <w:tc>
          <w:tcPr>
            <w:tcW w:w="2726" w:type="dxa"/>
            <w:tcBorders>
              <w:top w:val="single" w:sz="4" w:space="0" w:color="auto"/>
              <w:left w:val="single" w:sz="4" w:space="0" w:color="auto"/>
              <w:bottom w:val="single" w:sz="4" w:space="0" w:color="auto"/>
              <w:right w:val="single" w:sz="4" w:space="0" w:color="auto"/>
            </w:tcBorders>
          </w:tcPr>
          <w:p w14:paraId="362EED8F" w14:textId="77777777" w:rsidR="007D5E56" w:rsidRDefault="00E513F6">
            <w:pPr>
              <w:snapToGrid w:val="0"/>
              <w:spacing w:line="400" w:lineRule="exact"/>
              <w:rPr>
                <w:rFonts w:eastAsia="仿宋_GB2312"/>
                <w:color w:val="000000"/>
                <w:sz w:val="28"/>
                <w:szCs w:val="28"/>
              </w:rPr>
            </w:pPr>
            <w:r>
              <w:rPr>
                <w:rFonts w:eastAsia="仿宋_GB2312"/>
                <w:color w:val="000000"/>
                <w:sz w:val="28"/>
                <w:szCs w:val="28"/>
              </w:rPr>
              <w:t>17-08</w:t>
            </w:r>
          </w:p>
        </w:tc>
      </w:tr>
    </w:tbl>
    <w:p w14:paraId="0BE0C643" w14:textId="77777777" w:rsidR="007D5E56" w:rsidRDefault="007D5E56">
      <w:pPr>
        <w:spacing w:line="20" w:lineRule="exact"/>
        <w:rPr>
          <w:rFonts w:eastAsia="方正仿宋简体"/>
          <w:color w:val="000000"/>
          <w:sz w:val="28"/>
          <w:szCs w:val="28"/>
        </w:rPr>
      </w:pPr>
      <w:bookmarkStart w:id="1" w:name="YinFaRiQiΩ1"/>
      <w:bookmarkEnd w:id="0"/>
      <w:bookmarkEnd w:id="1"/>
    </w:p>
    <w:p w14:paraId="4922B362" w14:textId="77777777" w:rsidR="00E513F6" w:rsidRDefault="00E513F6" w:rsidP="00376444">
      <w:pPr>
        <w:adjustRightInd w:val="0"/>
        <w:snapToGrid w:val="0"/>
        <w:spacing w:line="560" w:lineRule="exact"/>
        <w:rPr>
          <w:rFonts w:ascii="方正仿宋简体" w:eastAsia="方正仿宋简体" w:hAnsi="仿宋"/>
          <w:sz w:val="28"/>
          <w:szCs w:val="28"/>
        </w:rPr>
      </w:pPr>
    </w:p>
    <w:sectPr w:rsidR="00E513F6">
      <w:footerReference w:type="even" r:id="rId10"/>
      <w:footerReference w:type="default" r:id="rId11"/>
      <w:footerReference w:type="first" r:id="rId12"/>
      <w:pgSz w:w="11906" w:h="16838"/>
      <w:pgMar w:top="1928" w:right="1531" w:bottom="1814" w:left="1531" w:header="851" w:footer="1474"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DCCC6" w14:textId="77777777" w:rsidR="000B10D4" w:rsidRDefault="000B10D4">
      <w:r>
        <w:separator/>
      </w:r>
    </w:p>
  </w:endnote>
  <w:endnote w:type="continuationSeparator" w:id="0">
    <w:p w14:paraId="449304DD" w14:textId="77777777" w:rsidR="000B10D4" w:rsidRDefault="000B10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80E0000" w:usb2="00000000" w:usb3="00000000" w:csb0="00040000"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隶书">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微软雅黑"/>
    <w:charset w:val="86"/>
    <w:family w:val="script"/>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F1F56" w14:textId="77777777" w:rsidR="007D5E56" w:rsidRDefault="00376444">
    <w:pPr>
      <w:pStyle w:val="a5"/>
      <w:ind w:right="360"/>
    </w:pPr>
    <w:r>
      <w:rPr>
        <w:noProof/>
      </w:rPr>
      <mc:AlternateContent>
        <mc:Choice Requires="wps">
          <w:drawing>
            <wp:anchor distT="0" distB="0" distL="114300" distR="114300" simplePos="0" relativeHeight="251657728" behindDoc="0" locked="0" layoutInCell="1" allowOverlap="1" wp14:anchorId="2CF7A89C" wp14:editId="340C2225">
              <wp:simplePos x="0" y="0"/>
              <wp:positionH relativeFrom="margin">
                <wp:align>outside</wp:align>
              </wp:positionH>
              <wp:positionV relativeFrom="paragraph">
                <wp:posOffset>0</wp:posOffset>
              </wp:positionV>
              <wp:extent cx="889635" cy="384175"/>
              <wp:effectExtent l="1905" t="4445" r="3810" b="1905"/>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635" cy="384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77D7908F" w14:textId="77777777" w:rsidR="007D5E56" w:rsidRDefault="00E513F6">
                          <w:pPr>
                            <w:pStyle w:val="a5"/>
                            <w:rPr>
                              <w:rStyle w:val="a9"/>
                              <w:sz w:val="28"/>
                              <w:szCs w:val="28"/>
                            </w:rPr>
                          </w:pPr>
                          <w:r>
                            <w:rPr>
                              <w:rStyle w:val="a9"/>
                              <w:rFonts w:hint="eastAsia"/>
                              <w:color w:val="FFFFFF"/>
                              <w:sz w:val="28"/>
                              <w:szCs w:val="28"/>
                            </w:rPr>
                            <w:t>—</w:t>
                          </w:r>
                          <w:r>
                            <w:rPr>
                              <w:rStyle w:val="a9"/>
                              <w:rFonts w:hint="eastAsia"/>
                              <w:sz w:val="28"/>
                              <w:szCs w:val="28"/>
                            </w:rPr>
                            <w:t>—</w:t>
                          </w:r>
                          <w:r>
                            <w:rPr>
                              <w:rStyle w:val="a9"/>
                              <w:rFonts w:hint="eastAsia"/>
                              <w:sz w:val="28"/>
                              <w:szCs w:val="28"/>
                            </w:rPr>
                            <w:t xml:space="preserve"> </w:t>
                          </w:r>
                          <w:r>
                            <w:rPr>
                              <w:sz w:val="28"/>
                              <w:szCs w:val="28"/>
                            </w:rPr>
                            <w:fldChar w:fldCharType="begin"/>
                          </w:r>
                          <w:r>
                            <w:rPr>
                              <w:rStyle w:val="a9"/>
                              <w:sz w:val="28"/>
                              <w:szCs w:val="28"/>
                            </w:rPr>
                            <w:instrText xml:space="preserve">PAGE  </w:instrText>
                          </w:r>
                          <w:r>
                            <w:rPr>
                              <w:sz w:val="28"/>
                              <w:szCs w:val="28"/>
                            </w:rPr>
                            <w:fldChar w:fldCharType="separate"/>
                          </w:r>
                          <w:r w:rsidR="00376444">
                            <w:rPr>
                              <w:rStyle w:val="a9"/>
                              <w:noProof/>
                              <w:sz w:val="28"/>
                              <w:szCs w:val="28"/>
                            </w:rPr>
                            <w:t>14</w:t>
                          </w:r>
                          <w:r>
                            <w:rPr>
                              <w:sz w:val="28"/>
                              <w:szCs w:val="28"/>
                            </w:rPr>
                            <w:fldChar w:fldCharType="end"/>
                          </w:r>
                          <w:r>
                            <w:rPr>
                              <w:rStyle w:val="a9"/>
                              <w:rFonts w:hint="eastAsia"/>
                              <w:sz w:val="28"/>
                              <w:szCs w:val="28"/>
                            </w:rPr>
                            <w:t xml:space="preserve"> </w:t>
                          </w:r>
                          <w:r>
                            <w:rPr>
                              <w:rStyle w:val="a9"/>
                              <w:rFonts w:hint="eastAsia"/>
                              <w:sz w:val="28"/>
                              <w:szCs w:val="28"/>
                            </w:rPr>
                            <w:t>—</w:t>
                          </w:r>
                          <w:r>
                            <w:rPr>
                              <w:rStyle w:val="a9"/>
                              <w:rFonts w:hint="eastAsia"/>
                              <w:sz w:val="28"/>
                              <w:szCs w:val="28"/>
                            </w:rPr>
                            <w:t xml:space="preserve"> </w:t>
                          </w:r>
                        </w:p>
                        <w:p w14:paraId="23D1C8B8" w14:textId="77777777" w:rsidR="007D5E56" w:rsidRDefault="007D5E56"/>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CF7A89C" id="_x0000_t202" coordsize="21600,21600" o:spt="202" path="m,l,21600r21600,l21600,xe">
              <v:stroke joinstyle="miter"/>
              <v:path gradientshapeok="t" o:connecttype="rect"/>
            </v:shapetype>
            <v:shape id="文本框 2" o:spid="_x0000_s1062" type="#_x0000_t202" style="position:absolute;margin-left:18.85pt;margin-top:0;width:70.05pt;height:30.2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" filled="f" stroked="f">
              <v:textbox style="mso-fit-shape-to-text:t" inset="0,0,0,0">
                <w:txbxContent>
                  <w:p w14:paraId="77D7908F" w14:textId="77777777" w:rsidR="007D5E56" w:rsidRDefault="00E513F6">
                    <w:pPr>
                      <w:pStyle w:val="a5"/>
                      <w:rPr>
                        <w:rStyle w:val="a9"/>
                        <w:sz w:val="28"/>
                        <w:szCs w:val="28"/>
                      </w:rPr>
                    </w:pPr>
                    <w:r>
                      <w:rPr>
                        <w:rStyle w:val="a9"/>
                        <w:rFonts w:hint="eastAsia"/>
                        <w:color w:val="FFFFFF"/>
                        <w:sz w:val="28"/>
                        <w:szCs w:val="28"/>
                      </w:rPr>
                      <w:t>—</w:t>
                    </w:r>
                    <w:r>
                      <w:rPr>
                        <w:rStyle w:val="a9"/>
                        <w:rFonts w:hint="eastAsia"/>
                        <w:sz w:val="28"/>
                        <w:szCs w:val="28"/>
                      </w:rPr>
                      <w:t>—</w:t>
                    </w:r>
                    <w:r>
                      <w:rPr>
                        <w:rStyle w:val="a9"/>
                        <w:rFonts w:hint="eastAsia"/>
                        <w:sz w:val="28"/>
                        <w:szCs w:val="28"/>
                      </w:rPr>
                      <w:t xml:space="preserve"> </w:t>
                    </w:r>
                    <w:r>
                      <w:rPr>
                        <w:sz w:val="28"/>
                        <w:szCs w:val="28"/>
                      </w:rPr>
                      <w:fldChar w:fldCharType="begin"/>
                    </w:r>
                    <w:r>
                      <w:rPr>
                        <w:rStyle w:val="a9"/>
                        <w:sz w:val="28"/>
                        <w:szCs w:val="28"/>
                      </w:rPr>
                      <w:instrText xml:space="preserve">PAGE  </w:instrText>
                    </w:r>
                    <w:r>
                      <w:rPr>
                        <w:sz w:val="28"/>
                        <w:szCs w:val="28"/>
                      </w:rPr>
                      <w:fldChar w:fldCharType="separate"/>
                    </w:r>
                    <w:r w:rsidR="00376444">
                      <w:rPr>
                        <w:rStyle w:val="a9"/>
                        <w:noProof/>
                        <w:sz w:val="28"/>
                        <w:szCs w:val="28"/>
                      </w:rPr>
                      <w:t>14</w:t>
                    </w:r>
                    <w:r>
                      <w:rPr>
                        <w:sz w:val="28"/>
                        <w:szCs w:val="28"/>
                      </w:rPr>
                      <w:fldChar w:fldCharType="end"/>
                    </w:r>
                    <w:r>
                      <w:rPr>
                        <w:rStyle w:val="a9"/>
                        <w:rFonts w:hint="eastAsia"/>
                        <w:sz w:val="28"/>
                        <w:szCs w:val="28"/>
                      </w:rPr>
                      <w:t xml:space="preserve"> </w:t>
                    </w:r>
                    <w:r>
                      <w:rPr>
                        <w:rStyle w:val="a9"/>
                        <w:rFonts w:hint="eastAsia"/>
                        <w:sz w:val="28"/>
                        <w:szCs w:val="28"/>
                      </w:rPr>
                      <w:t>—</w:t>
                    </w:r>
                    <w:r>
                      <w:rPr>
                        <w:rStyle w:val="a9"/>
                        <w:rFonts w:hint="eastAsia"/>
                        <w:sz w:val="28"/>
                        <w:szCs w:val="28"/>
                      </w:rPr>
                      <w:t xml:space="preserve"> </w:t>
                    </w:r>
                  </w:p>
                  <w:p w14:paraId="23D1C8B8" w14:textId="77777777" w:rsidR="007D5E56" w:rsidRDefault="007D5E56"/>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B55BC" w14:textId="77777777" w:rsidR="007D5E56" w:rsidRDefault="00376444">
    <w:pPr>
      <w:pStyle w:val="a5"/>
      <w:wordWrap w:val="0"/>
      <w:jc w:val="right"/>
    </w:pPr>
    <w:r>
      <w:rPr>
        <w:noProof/>
      </w:rPr>
      <mc:AlternateContent>
        <mc:Choice Requires="wps">
          <w:drawing>
            <wp:anchor distT="0" distB="0" distL="114300" distR="114300" simplePos="0" relativeHeight="251656704" behindDoc="0" locked="0" layoutInCell="1" allowOverlap="1" wp14:anchorId="5086A521" wp14:editId="5879CBF6">
              <wp:simplePos x="0" y="0"/>
              <wp:positionH relativeFrom="margin">
                <wp:align>outside</wp:align>
              </wp:positionH>
              <wp:positionV relativeFrom="paragraph">
                <wp:posOffset>0</wp:posOffset>
              </wp:positionV>
              <wp:extent cx="889635" cy="230505"/>
              <wp:effectExtent l="2540" t="4445" r="3175" b="3175"/>
              <wp:wrapNone/>
              <wp:docPr id="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6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2DC6F714" w14:textId="77777777" w:rsidR="007D5E56" w:rsidRDefault="00E513F6">
                          <w:pPr>
                            <w:pStyle w:val="a5"/>
                            <w:wordWrap w:val="0"/>
                            <w:jc w:val="right"/>
                          </w:pP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376444" w:rsidRPr="00376444">
                            <w:rPr>
                              <w:noProof/>
                              <w:sz w:val="28"/>
                              <w:szCs w:val="28"/>
                              <w:lang w:val="zh-CN"/>
                            </w:rPr>
                            <w:t>15</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086A521" id="_x0000_t202" coordsize="21600,21600" o:spt="202" path="m,l,21600r21600,l21600,xe">
              <v:stroke joinstyle="miter"/>
              <v:path gradientshapeok="t" o:connecttype="rect"/>
            </v:shapetype>
            <v:shape id="文本框 1" o:spid="_x0000_s1063" type="#_x0000_t202" style="position:absolute;left:0;text-align:left;margin-left:18.85pt;margin-top:0;width:70.05pt;height:18.15pt;z-index:25165670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" filled="f" stroked="f">
              <v:textbox style="mso-fit-shape-to-text:t" inset="0,0,0,0">
                <w:txbxContent>
                  <w:p w14:paraId="2DC6F714" w14:textId="77777777" w:rsidR="007D5E56" w:rsidRDefault="00E513F6">
                    <w:pPr>
                      <w:pStyle w:val="a5"/>
                      <w:wordWrap w:val="0"/>
                      <w:jc w:val="right"/>
                    </w:pP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376444" w:rsidRPr="00376444">
                      <w:rPr>
                        <w:noProof/>
                        <w:sz w:val="28"/>
                        <w:szCs w:val="28"/>
                        <w:lang w:val="zh-CN"/>
                      </w:rPr>
                      <w:t>15</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97AD0" w14:textId="77777777" w:rsidR="007D5E56" w:rsidRDefault="00376444">
    <w:pPr>
      <w:pStyle w:val="a5"/>
    </w:pPr>
    <w:r>
      <w:rPr>
        <w:noProof/>
      </w:rPr>
      <mc:AlternateContent>
        <mc:Choice Requires="wps">
          <w:drawing>
            <wp:anchor distT="0" distB="0" distL="114300" distR="114300" simplePos="0" relativeHeight="251658752" behindDoc="0" locked="0" layoutInCell="1" allowOverlap="1" wp14:anchorId="53928890" wp14:editId="378DE13E">
              <wp:simplePos x="0" y="0"/>
              <wp:positionH relativeFrom="margin">
                <wp:align>outside</wp:align>
              </wp:positionH>
              <wp:positionV relativeFrom="paragraph">
                <wp:posOffset>0</wp:posOffset>
              </wp:positionV>
              <wp:extent cx="978535" cy="230505"/>
              <wp:effectExtent l="0" t="4445" r="3175" b="3175"/>
              <wp:wrapNone/>
              <wp:docPr id="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908DC90" w14:textId="77777777" w:rsidR="007D5E56" w:rsidRPr="00E86006" w:rsidRDefault="00E513F6">
                          <w:pPr>
                            <w:pStyle w:val="a5"/>
                            <w:rPr>
                              <w:sz w:val="28"/>
                              <w:szCs w:val="28"/>
                            </w:rPr>
                          </w:pPr>
                          <w:r w:rsidRPr="00E86006">
                            <w:rPr>
                              <w:rFonts w:hint="eastAsia"/>
                              <w:color w:val="FFFFFF"/>
                              <w:sz w:val="28"/>
                              <w:szCs w:val="28"/>
                            </w:rPr>
                            <w:t>—</w:t>
                          </w:r>
                          <w:r w:rsidRPr="00E86006">
                            <w:rPr>
                              <w:rFonts w:hint="eastAsia"/>
                              <w:sz w:val="28"/>
                              <w:szCs w:val="28"/>
                            </w:rPr>
                            <w:t>—</w:t>
                          </w:r>
                          <w:r w:rsidRPr="00E86006">
                            <w:rPr>
                              <w:rFonts w:hint="eastAsia"/>
                              <w:sz w:val="28"/>
                              <w:szCs w:val="28"/>
                            </w:rPr>
                            <w:t xml:space="preserve"> </w:t>
                          </w:r>
                          <w:r w:rsidRPr="00E86006">
                            <w:rPr>
                              <w:sz w:val="28"/>
                              <w:szCs w:val="28"/>
                            </w:rPr>
                            <w:fldChar w:fldCharType="begin"/>
                          </w:r>
                          <w:r w:rsidRPr="00E86006">
                            <w:rPr>
                              <w:sz w:val="28"/>
                              <w:szCs w:val="28"/>
                            </w:rPr>
                            <w:instrText xml:space="preserve"> PAGE  \* MERGEFORMAT </w:instrText>
                          </w:r>
                          <w:r w:rsidRPr="00E86006">
                            <w:rPr>
                              <w:sz w:val="28"/>
                              <w:szCs w:val="28"/>
                            </w:rPr>
                            <w:fldChar w:fldCharType="separate"/>
                          </w:r>
                          <w:r w:rsidR="00376444">
                            <w:rPr>
                              <w:noProof/>
                              <w:sz w:val="28"/>
                              <w:szCs w:val="28"/>
                            </w:rPr>
                            <w:t>1</w:t>
                          </w:r>
                          <w:r w:rsidRPr="00E86006">
                            <w:rPr>
                              <w:sz w:val="28"/>
                              <w:szCs w:val="28"/>
                            </w:rPr>
                            <w:fldChar w:fldCharType="end"/>
                          </w:r>
                          <w:r w:rsidRPr="00E86006">
                            <w:rPr>
                              <w:rFonts w:hint="eastAsia"/>
                              <w:sz w:val="28"/>
                              <w:szCs w:val="28"/>
                            </w:rPr>
                            <w:t xml:space="preserve"> </w:t>
                          </w:r>
                          <w:r w:rsidRPr="00E86006">
                            <w:rPr>
                              <w:rFonts w:hint="eastAsia"/>
                              <w:sz w:val="28"/>
                              <w:szCs w:val="28"/>
                            </w:rPr>
                            <w:t>—</w:t>
                          </w:r>
                          <w:r w:rsidRPr="00E86006">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3928890" id="_x0000_t202" coordsize="21600,21600" o:spt="202" path="m,l,21600r21600,l21600,xe">
              <v:stroke joinstyle="miter"/>
              <v:path gradientshapeok="t" o:connecttype="rect"/>
            </v:shapetype>
            <v:shape id="文本框 3" o:spid="_x0000_s1064" type="#_x0000_t202" style="position:absolute;margin-left:25.85pt;margin-top:0;width:77.05pt;height:18.15pt;z-index:251658752;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" filled="f" stroked="f">
              <v:textbox style="mso-fit-shape-to-text:t" inset="0,0,0,0">
                <w:txbxContent>
                  <w:p w14:paraId="6908DC90" w14:textId="77777777" w:rsidR="007D5E56" w:rsidRPr="00E86006" w:rsidRDefault="00E513F6">
                    <w:pPr>
                      <w:pStyle w:val="a5"/>
                      <w:rPr>
                        <w:sz w:val="28"/>
                        <w:szCs w:val="28"/>
                      </w:rPr>
                    </w:pPr>
                    <w:r w:rsidRPr="00E86006">
                      <w:rPr>
                        <w:rFonts w:hint="eastAsia"/>
                        <w:color w:val="FFFFFF"/>
                        <w:sz w:val="28"/>
                        <w:szCs w:val="28"/>
                      </w:rPr>
                      <w:t>—</w:t>
                    </w:r>
                    <w:r w:rsidRPr="00E86006">
                      <w:rPr>
                        <w:rFonts w:hint="eastAsia"/>
                        <w:sz w:val="28"/>
                        <w:szCs w:val="28"/>
                      </w:rPr>
                      <w:t>—</w:t>
                    </w:r>
                    <w:r w:rsidRPr="00E86006">
                      <w:rPr>
                        <w:rFonts w:hint="eastAsia"/>
                        <w:sz w:val="28"/>
                        <w:szCs w:val="28"/>
                      </w:rPr>
                      <w:t xml:space="preserve"> </w:t>
                    </w:r>
                    <w:r w:rsidRPr="00E86006">
                      <w:rPr>
                        <w:sz w:val="28"/>
                        <w:szCs w:val="28"/>
                      </w:rPr>
                      <w:fldChar w:fldCharType="begin"/>
                    </w:r>
                    <w:r w:rsidRPr="00E86006">
                      <w:rPr>
                        <w:sz w:val="28"/>
                        <w:szCs w:val="28"/>
                      </w:rPr>
                      <w:instrText xml:space="preserve"> PAGE  \* MERGEFORMAT </w:instrText>
                    </w:r>
                    <w:r w:rsidRPr="00E86006">
                      <w:rPr>
                        <w:sz w:val="28"/>
                        <w:szCs w:val="28"/>
                      </w:rPr>
                      <w:fldChar w:fldCharType="separate"/>
                    </w:r>
                    <w:r w:rsidR="00376444">
                      <w:rPr>
                        <w:noProof/>
                        <w:sz w:val="28"/>
                        <w:szCs w:val="28"/>
                      </w:rPr>
                      <w:t>1</w:t>
                    </w:r>
                    <w:r w:rsidRPr="00E86006">
                      <w:rPr>
                        <w:sz w:val="28"/>
                        <w:szCs w:val="28"/>
                      </w:rPr>
                      <w:fldChar w:fldCharType="end"/>
                    </w:r>
                    <w:r w:rsidRPr="00E86006">
                      <w:rPr>
                        <w:rFonts w:hint="eastAsia"/>
                        <w:sz w:val="28"/>
                        <w:szCs w:val="28"/>
                      </w:rPr>
                      <w:t xml:space="preserve"> </w:t>
                    </w:r>
                    <w:r w:rsidRPr="00E86006">
                      <w:rPr>
                        <w:rFonts w:hint="eastAsia"/>
                        <w:sz w:val="28"/>
                        <w:szCs w:val="28"/>
                      </w:rPr>
                      <w:t>—</w:t>
                    </w:r>
                    <w:r w:rsidRPr="00E86006">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D67D9" w14:textId="77777777" w:rsidR="000B10D4" w:rsidRDefault="000B10D4">
      <w:r>
        <w:separator/>
      </w:r>
    </w:p>
  </w:footnote>
  <w:footnote w:type="continuationSeparator" w:id="0">
    <w:p w14:paraId="36621CA4" w14:textId="77777777" w:rsidR="000B10D4" w:rsidRDefault="000B10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0C8"/>
    <w:rsid w:val="A717863A"/>
    <w:rsid w:val="A77BAB4D"/>
    <w:rsid w:val="B770703B"/>
    <w:rsid w:val="BC1E4E93"/>
    <w:rsid w:val="C7ED8CA0"/>
    <w:rsid w:val="DF3BD58F"/>
    <w:rsid w:val="DFF3996D"/>
    <w:rsid w:val="EB7FB9C2"/>
    <w:rsid w:val="EBDE0B7B"/>
    <w:rsid w:val="EF7D2964"/>
    <w:rsid w:val="EFFF3FF5"/>
    <w:rsid w:val="F6FF9F60"/>
    <w:rsid w:val="FB5F6C6B"/>
    <w:rsid w:val="FBFF7543"/>
    <w:rsid w:val="FDFF6030"/>
    <w:rsid w:val="FFED7CF8"/>
    <w:rsid w:val="000035AA"/>
    <w:rsid w:val="00016D27"/>
    <w:rsid w:val="00016E93"/>
    <w:rsid w:val="0002574F"/>
    <w:rsid w:val="00035514"/>
    <w:rsid w:val="00071507"/>
    <w:rsid w:val="000A2989"/>
    <w:rsid w:val="000B10D4"/>
    <w:rsid w:val="000B1917"/>
    <w:rsid w:val="000E0170"/>
    <w:rsid w:val="00101F08"/>
    <w:rsid w:val="00127D58"/>
    <w:rsid w:val="001550D7"/>
    <w:rsid w:val="00157D65"/>
    <w:rsid w:val="00186786"/>
    <w:rsid w:val="001C492C"/>
    <w:rsid w:val="001F3FB0"/>
    <w:rsid w:val="00204B69"/>
    <w:rsid w:val="00214F56"/>
    <w:rsid w:val="00247F9A"/>
    <w:rsid w:val="00277D15"/>
    <w:rsid w:val="002A510C"/>
    <w:rsid w:val="002A7F53"/>
    <w:rsid w:val="002B28D3"/>
    <w:rsid w:val="002B6FA2"/>
    <w:rsid w:val="002F2CC3"/>
    <w:rsid w:val="003330A7"/>
    <w:rsid w:val="0035031B"/>
    <w:rsid w:val="00351116"/>
    <w:rsid w:val="00352FFE"/>
    <w:rsid w:val="0036326B"/>
    <w:rsid w:val="00376444"/>
    <w:rsid w:val="00383F83"/>
    <w:rsid w:val="003A3BF0"/>
    <w:rsid w:val="003B452F"/>
    <w:rsid w:val="003C2FA0"/>
    <w:rsid w:val="003C4A36"/>
    <w:rsid w:val="003D08E2"/>
    <w:rsid w:val="003E7CB8"/>
    <w:rsid w:val="00405AE4"/>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C7E"/>
    <w:rsid w:val="0067038A"/>
    <w:rsid w:val="00673EAB"/>
    <w:rsid w:val="00690209"/>
    <w:rsid w:val="006D3D5E"/>
    <w:rsid w:val="006E0E17"/>
    <w:rsid w:val="007140B7"/>
    <w:rsid w:val="00727597"/>
    <w:rsid w:val="00735046"/>
    <w:rsid w:val="00752A7E"/>
    <w:rsid w:val="00766F07"/>
    <w:rsid w:val="007B409A"/>
    <w:rsid w:val="007C1621"/>
    <w:rsid w:val="007C72C1"/>
    <w:rsid w:val="007D5E56"/>
    <w:rsid w:val="007F6C62"/>
    <w:rsid w:val="008044C1"/>
    <w:rsid w:val="0080591C"/>
    <w:rsid w:val="00823BE9"/>
    <w:rsid w:val="00840DEF"/>
    <w:rsid w:val="00845649"/>
    <w:rsid w:val="008457F1"/>
    <w:rsid w:val="00863C35"/>
    <w:rsid w:val="008857B8"/>
    <w:rsid w:val="008C461A"/>
    <w:rsid w:val="008C5ECE"/>
    <w:rsid w:val="008C74C4"/>
    <w:rsid w:val="008F6D31"/>
    <w:rsid w:val="00926229"/>
    <w:rsid w:val="00935FAF"/>
    <w:rsid w:val="00944679"/>
    <w:rsid w:val="0097437D"/>
    <w:rsid w:val="009869EE"/>
    <w:rsid w:val="00991BF3"/>
    <w:rsid w:val="009A1829"/>
    <w:rsid w:val="009A2DB4"/>
    <w:rsid w:val="009D7C65"/>
    <w:rsid w:val="00A03AD8"/>
    <w:rsid w:val="00A24E9C"/>
    <w:rsid w:val="00A254E3"/>
    <w:rsid w:val="00A30AB5"/>
    <w:rsid w:val="00A351E7"/>
    <w:rsid w:val="00A62362"/>
    <w:rsid w:val="00A646C6"/>
    <w:rsid w:val="00A65BFC"/>
    <w:rsid w:val="00A8280B"/>
    <w:rsid w:val="00A82CA2"/>
    <w:rsid w:val="00AC2D33"/>
    <w:rsid w:val="00B10065"/>
    <w:rsid w:val="00B11072"/>
    <w:rsid w:val="00B25838"/>
    <w:rsid w:val="00B60176"/>
    <w:rsid w:val="00B84EF7"/>
    <w:rsid w:val="00BA00D5"/>
    <w:rsid w:val="00BA1FC7"/>
    <w:rsid w:val="00BE16F8"/>
    <w:rsid w:val="00C1570A"/>
    <w:rsid w:val="00C57201"/>
    <w:rsid w:val="00C578A0"/>
    <w:rsid w:val="00C74D02"/>
    <w:rsid w:val="00C92BC0"/>
    <w:rsid w:val="00CA2B21"/>
    <w:rsid w:val="00CC6505"/>
    <w:rsid w:val="00CE7A0B"/>
    <w:rsid w:val="00D03FFD"/>
    <w:rsid w:val="00D0628A"/>
    <w:rsid w:val="00D1236C"/>
    <w:rsid w:val="00D53A64"/>
    <w:rsid w:val="00D61B72"/>
    <w:rsid w:val="00D818AE"/>
    <w:rsid w:val="00DC42BB"/>
    <w:rsid w:val="00DD5C43"/>
    <w:rsid w:val="00DF1936"/>
    <w:rsid w:val="00E05A99"/>
    <w:rsid w:val="00E41A1A"/>
    <w:rsid w:val="00E513F6"/>
    <w:rsid w:val="00E73776"/>
    <w:rsid w:val="00E86006"/>
    <w:rsid w:val="00E921BD"/>
    <w:rsid w:val="00ED2031"/>
    <w:rsid w:val="00EE37FE"/>
    <w:rsid w:val="00F33350"/>
    <w:rsid w:val="00F64776"/>
    <w:rsid w:val="00F6624B"/>
    <w:rsid w:val="00F8685B"/>
    <w:rsid w:val="00FA60C8"/>
    <w:rsid w:val="00FD22E5"/>
    <w:rsid w:val="00FD443E"/>
    <w:rsid w:val="00FD754D"/>
    <w:rsid w:val="00FF6452"/>
    <w:rsid w:val="0FBDD8F5"/>
    <w:rsid w:val="12681CD2"/>
    <w:rsid w:val="1616507C"/>
    <w:rsid w:val="2F5ED5CC"/>
    <w:rsid w:val="39FD8D34"/>
    <w:rsid w:val="3DF79EE1"/>
    <w:rsid w:val="3F74A8F3"/>
    <w:rsid w:val="3FE36079"/>
    <w:rsid w:val="3FFFED21"/>
    <w:rsid w:val="45386969"/>
    <w:rsid w:val="45492E01"/>
    <w:rsid w:val="466F7F34"/>
    <w:rsid w:val="4FBFAFD4"/>
    <w:rsid w:val="57ADA308"/>
    <w:rsid w:val="59FFF119"/>
    <w:rsid w:val="5F8C32F3"/>
    <w:rsid w:val="63CF4B13"/>
    <w:rsid w:val="66BE9CAC"/>
    <w:rsid w:val="66EB53B0"/>
    <w:rsid w:val="6F7F14CC"/>
    <w:rsid w:val="6FBE1FE1"/>
    <w:rsid w:val="6FD04493"/>
    <w:rsid w:val="73D7E527"/>
    <w:rsid w:val="73F783C5"/>
    <w:rsid w:val="758F27DE"/>
    <w:rsid w:val="77465214"/>
    <w:rsid w:val="77F70BB2"/>
    <w:rsid w:val="79CF60C4"/>
    <w:rsid w:val="7B7ED313"/>
    <w:rsid w:val="7BAB5AAE"/>
    <w:rsid w:val="7BC7315A"/>
    <w:rsid w:val="7BF6DF10"/>
    <w:rsid w:val="7BF91667"/>
    <w:rsid w:val="7DF815B2"/>
    <w:rsid w:val="7DFB568F"/>
    <w:rsid w:val="7DFF758C"/>
    <w:rsid w:val="7ED60E5F"/>
    <w:rsid w:val="7FDF9627"/>
    <w:rsid w:val="7FF79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1DD472"/>
  <w15:chartTrackingRefBased/>
  <w15:docId w15:val="{F401993D-DB75-45E1-9987-967ACBF1A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character" w:customStyle="1" w:styleId="a6">
    <w:name w:val="页脚 字符"/>
    <w:link w:val="a5"/>
    <w:uiPriority w:val="99"/>
    <w:rPr>
      <w:kern w:val="2"/>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rPr>
      <w:kern w:val="2"/>
      <w:sz w:val="18"/>
      <w:szCs w:val="18"/>
    </w:rPr>
  </w:style>
  <w:style w:type="character" w:styleId="a9">
    <w:name w:val="page number"/>
    <w:basedOn w:val="a0"/>
  </w:style>
  <w:style w:type="paragraph" w:styleId="aa">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nda.cfda.gov.cn/directory/web/WS04/images/ufq80tKpxre84La9udzA7b7WMjAxOMTqtdoyMbrFzai45ri9vP4xLmRvYw==.doc"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da.gov/downloads/MedicalDevices/DeviceRegulationandGuidance/GuidanceDocuments/ucm279103.pdf" TargetMode="Externa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cnda.cfda.gov.cn/directory/web/WS04/images/ufq80tKpxre84La9udzA7b7WMjAxOMTqtdo0MLrFzai45ri9vP4uZG9j.doc"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1107</Words>
  <Characters>6310</Characters>
  <Application>Microsoft Office Word</Application>
  <DocSecurity>0</DocSecurity>
  <Lines>52</Lines>
  <Paragraphs>14</Paragraphs>
  <ScaleCrop>false</ScaleCrop>
  <Company>Xtzj.Com</Company>
  <LinksUpToDate>false</LinksUpToDate>
  <CharactersWithSpaces>7403</CharactersWithSpaces>
  <SharedDoc>false</SharedDoc>
  <HLinks>
    <vt:vector size="30" baseType="variant">
      <vt:variant>
        <vt:i4>655394</vt:i4>
      </vt:variant>
      <vt:variant>
        <vt:i4>12</vt:i4>
      </vt:variant>
      <vt:variant>
        <vt:i4>0</vt:i4>
      </vt:variant>
      <vt:variant>
        <vt:i4>5</vt:i4>
      </vt:variant>
      <vt:variant>
        <vt:lpwstr>https://www.ncbi.nlm.nih.gov/pubmed/20507187/?utm_source=gquery&amp;utm_medium=referral&amp;utm_campaign=CitationSensor</vt:lpwstr>
      </vt:variant>
      <vt:variant>
        <vt:lpwstr/>
      </vt:variant>
      <vt:variant>
        <vt:i4>3145850</vt:i4>
      </vt:variant>
      <vt:variant>
        <vt:i4>9</vt:i4>
      </vt:variant>
      <vt:variant>
        <vt:i4>0</vt:i4>
      </vt:variant>
      <vt:variant>
        <vt:i4>5</vt:i4>
      </vt:variant>
      <vt:variant>
        <vt:lpwstr>http://cnda.cfda.gov.cn/directory/web/WS04/images/ufq80tKpxre84La9udzA7b7WMjAxOMTqtdoyMbrFzai45ri9vP4xLmRvYw==.doc</vt:lpwstr>
      </vt:variant>
      <vt:variant>
        <vt:lpwstr/>
      </vt:variant>
      <vt:variant>
        <vt:i4>2490467</vt:i4>
      </vt:variant>
      <vt:variant>
        <vt:i4>6</vt:i4>
      </vt:variant>
      <vt:variant>
        <vt:i4>0</vt:i4>
      </vt:variant>
      <vt:variant>
        <vt:i4>5</vt:i4>
      </vt:variant>
      <vt:variant>
        <vt:lpwstr>http://cnda.cfda.gov.cn/directory/web/WS04/images/ufq80tKpxre84La9udzA7b7WMjAxOMTqtdo0MLrFzai45ri9vP4uZG9j.doc</vt:lpwstr>
      </vt:variant>
      <vt:variant>
        <vt:lpwstr/>
      </vt:variant>
      <vt:variant>
        <vt:i4>3145850</vt:i4>
      </vt:variant>
      <vt:variant>
        <vt:i4>3</vt:i4>
      </vt:variant>
      <vt:variant>
        <vt:i4>0</vt:i4>
      </vt:variant>
      <vt:variant>
        <vt:i4>5</vt:i4>
      </vt:variant>
      <vt:variant>
        <vt:lpwstr>http://cnda.cfda.gov.cn/directory/web/WS04/images/ufq80tKpxre84La9udzA7b7WMjAxOMTqtdoyMbrFzai45ri9vP4xLmRvYw==.doc</vt:lpwstr>
      </vt:variant>
      <vt:variant>
        <vt:lpwstr/>
      </vt:variant>
      <vt:variant>
        <vt:i4>4456453</vt:i4>
      </vt:variant>
      <vt:variant>
        <vt:i4>0</vt:i4>
      </vt:variant>
      <vt:variant>
        <vt:i4>0</vt:i4>
      </vt:variant>
      <vt:variant>
        <vt:i4>5</vt:i4>
      </vt:variant>
      <vt:variant>
        <vt:lpwstr>https://www.fda.gov/downloads/MedicalDevices/DeviceRegulationandGuidance/GuidanceDocuments/ucm279103.pdf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LENOVO</cp:lastModifiedBy>
  <cp:revision>3</cp:revision>
  <cp:lastPrinted>2021-09-27T01:56:00Z</cp:lastPrinted>
  <dcterms:created xsi:type="dcterms:W3CDTF">2022-08-05T13:52:00Z</dcterms:created>
  <dcterms:modified xsi:type="dcterms:W3CDTF">2022-08-05T13:59:00Z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